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9DCE6">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方正小标宋_GBK" w:hAnsi="方正小标宋_GBK" w:eastAsia="方正小标宋_GBK" w:cs="方正小标宋_GBK"/>
          <w:snapToGrid w:val="0"/>
          <w:color w:val="auto"/>
          <w:kern w:val="0"/>
          <w:sz w:val="32"/>
          <w:szCs w:val="32"/>
          <w:lang w:val="en-US" w:eastAsia="zh-CN"/>
        </w:rPr>
      </w:pPr>
      <w:r>
        <w:rPr>
          <w:rFonts w:hint="eastAsia" w:ascii="方正小标宋_GBK" w:hAnsi="方正小标宋_GBK" w:eastAsia="方正小标宋_GBK" w:cs="方正小标宋_GBK"/>
          <w:snapToGrid w:val="0"/>
          <w:color w:val="auto"/>
          <w:kern w:val="0"/>
          <w:sz w:val="32"/>
          <w:szCs w:val="32"/>
          <w:lang w:eastAsia="zh-CN"/>
        </w:rPr>
        <w:t>附件</w:t>
      </w:r>
      <w:r>
        <w:rPr>
          <w:rFonts w:hint="eastAsia" w:ascii="方正小标宋_GBK" w:hAnsi="方正小标宋_GBK" w:eastAsia="方正小标宋_GBK" w:cs="方正小标宋_GBK"/>
          <w:snapToGrid w:val="0"/>
          <w:color w:val="auto"/>
          <w:kern w:val="0"/>
          <w:sz w:val="32"/>
          <w:szCs w:val="32"/>
          <w:lang w:val="en-US" w:eastAsia="zh-CN"/>
        </w:rPr>
        <w:t>2：</w:t>
      </w:r>
    </w:p>
    <w:p w14:paraId="5E19F31C">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方正小标宋_GBK" w:hAnsi="方正小标宋_GBK" w:eastAsia="方正小标宋_GBK" w:cs="方正小标宋_GBK"/>
          <w:snapToGrid w:val="0"/>
          <w:color w:val="auto"/>
          <w:kern w:val="0"/>
          <w:sz w:val="44"/>
          <w:szCs w:val="44"/>
          <w:lang w:eastAsia="en-US"/>
        </w:rPr>
      </w:pPr>
    </w:p>
    <w:p w14:paraId="66A88252">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napToGrid w:val="0"/>
          <w:color w:val="auto"/>
          <w:kern w:val="0"/>
          <w:sz w:val="44"/>
          <w:szCs w:val="44"/>
          <w:lang w:eastAsia="en-US"/>
        </w:rPr>
      </w:pPr>
      <w:bookmarkStart w:id="0" w:name="_GoBack"/>
      <w:r>
        <w:rPr>
          <w:rFonts w:hint="eastAsia" w:ascii="方正小标宋_GBK" w:hAnsi="方正小标宋_GBK" w:eastAsia="方正小标宋_GBK" w:cs="方正小标宋_GBK"/>
          <w:snapToGrid w:val="0"/>
          <w:color w:val="auto"/>
          <w:kern w:val="0"/>
          <w:sz w:val="44"/>
          <w:szCs w:val="44"/>
          <w:lang w:eastAsia="en-US"/>
        </w:rPr>
        <w:t>南县农村集体经营性建设用地入市土地</w:t>
      </w:r>
      <w:r>
        <w:rPr>
          <w:rFonts w:hint="eastAsia" w:ascii="方正小标宋_GBK" w:hAnsi="方正小标宋_GBK" w:eastAsia="方正小标宋_GBK" w:cs="方正小标宋_GBK"/>
          <w:snapToGrid w:val="0"/>
          <w:color w:val="auto"/>
          <w:kern w:val="0"/>
          <w:sz w:val="44"/>
          <w:szCs w:val="44"/>
          <w:lang w:eastAsia="en-US"/>
        </w:rPr>
        <w:br w:type="textWrapping"/>
      </w:r>
      <w:r>
        <w:rPr>
          <w:rFonts w:hint="eastAsia" w:ascii="方正小标宋_GBK" w:hAnsi="方正小标宋_GBK" w:eastAsia="方正小标宋_GBK" w:cs="方正小标宋_GBK"/>
          <w:snapToGrid w:val="0"/>
          <w:color w:val="auto"/>
          <w:kern w:val="0"/>
          <w:sz w:val="44"/>
          <w:szCs w:val="44"/>
          <w:lang w:eastAsia="en-US"/>
        </w:rPr>
        <w:t>增值收益及调节金征收使用</w:t>
      </w:r>
      <w:r>
        <w:rPr>
          <w:rFonts w:hint="eastAsia" w:ascii="方正小标宋_GBK" w:hAnsi="方正小标宋_GBK" w:eastAsia="方正小标宋_GBK" w:cs="方正小标宋_GBK"/>
          <w:snapToGrid w:val="0"/>
          <w:color w:val="auto"/>
          <w:kern w:val="0"/>
          <w:sz w:val="44"/>
          <w:szCs w:val="44"/>
          <w:lang w:eastAsia="en-US"/>
        </w:rPr>
        <w:br w:type="textWrapping"/>
      </w:r>
      <w:r>
        <w:rPr>
          <w:rFonts w:hint="eastAsia" w:ascii="方正小标宋_GBK" w:hAnsi="方正小标宋_GBK" w:eastAsia="方正小标宋_GBK" w:cs="方正小标宋_GBK"/>
          <w:snapToGrid w:val="0"/>
          <w:color w:val="auto"/>
          <w:kern w:val="0"/>
          <w:sz w:val="44"/>
          <w:szCs w:val="44"/>
          <w:lang w:eastAsia="en-US"/>
        </w:rPr>
        <w:t>管理办法（试行）</w:t>
      </w:r>
      <w:r>
        <w:rPr>
          <w:rFonts w:hint="eastAsia" w:ascii="方正小标宋_GBK" w:hAnsi="方正小标宋_GBK" w:eastAsia="方正小标宋_GBK" w:cs="方正小标宋_GBK"/>
          <w:snapToGrid w:val="0"/>
          <w:color w:val="auto"/>
          <w:kern w:val="0"/>
          <w:sz w:val="44"/>
          <w:szCs w:val="44"/>
          <w:lang w:eastAsia="zh-CN"/>
        </w:rPr>
        <w:t>（征求意见稿）</w:t>
      </w:r>
    </w:p>
    <w:bookmarkEnd w:id="0"/>
    <w:p w14:paraId="2424862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06C93DF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第一章　总则</w:t>
      </w:r>
    </w:p>
    <w:p w14:paraId="7BC7302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第一条　为规范南县农村集体经营性建设用地入市收益分配，建立兼顾国家、集体、个人的收益分配机制，完善对农民合理、规范、多元保障机制，根据《中华人民共和国土地管理法》《中华人民共和国城乡规划法》《中华人民共和国土地管理法实施条例》《湖南省实施〈中华人民共和国土地管理法〉办法》等法律法规和《财政部自然资源部关于延续实施农村集体经营性建设用地土地增值收益调节金政策的通知》（财税〔2023〕52号）文件精神，结合我县实际，特制定本办法。</w:t>
      </w:r>
    </w:p>
    <w:p w14:paraId="6C7157F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第二条　本办法适用于南县农村集体经营性建设用地入市土地增值收益调节金（以下简称调节金）的征收、使用、管理。</w:t>
      </w:r>
    </w:p>
    <w:p w14:paraId="1E79A0E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第三条　本办法所称农村集体经营性建设用地土地增值收益（以下简称土地增值收益），是指农村集体经营性建设用地入市环节入市收入扣除取得成本和土地开发支出后的净收益，以及再转让环节的再转让收入扣除取得成本和土地开发支出后的净收益。</w:t>
      </w:r>
    </w:p>
    <w:p w14:paraId="247CE7B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第四条　本办法所称调节金，是指按照建立同权同价、流转顺畅、收益共享的农村集体经营性建设用地入市制度的目标，在农村集体经营性建设用地入市及再转让环节，对土地增值收益收取的资金。</w:t>
      </w:r>
    </w:p>
    <w:p w14:paraId="5F9F0FC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第五条　本办法所称入市收益，是指农村集体经济组织将农村集体经营性建设用地使用权通过出让、租赁等方式入市交易产生的纯收益。</w:t>
      </w:r>
    </w:p>
    <w:p w14:paraId="78BF52A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第二章　调节金</w:t>
      </w:r>
    </w:p>
    <w:p w14:paraId="7A0A9CF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第六条　农村集体经济组织通过出让、租赁等方式取得农村集体经营性建设用地收益，以及入市后的农村集体经营性建设用地土地使用权人，以出售、交换、赠与、出租或其他视同转让等方式取得再转让收益时，应依照本办法缴纳调节金。</w:t>
      </w:r>
    </w:p>
    <w:p w14:paraId="7BBF4A6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第七条　调节金的征收主体是县人民政府，具体由县财政局会同县自然资源局组织征收。调节金原则上由农村集体经营性建设用地的出让方、出租方及再转让方缴纳。</w:t>
      </w:r>
    </w:p>
    <w:p w14:paraId="1549272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第八条　农村集体经营性建设用地以出让、租赁方式入市的，出让方、租赁方按出让总价款、租金总额中的土地增值收益部分区分不同用途按比例缴纳调节金。商服用地按25%比例缴纳，工矿仓储用地和其他类型用地按20%比例缴纳。</w:t>
      </w:r>
    </w:p>
    <w:p w14:paraId="05B0E0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第九条　依法取得的农村集体经营性建设用地使用权进行再转让的，按转让收入中土地增值收益的20%缴纳调节金，由再转让方缴纳。</w:t>
      </w:r>
    </w:p>
    <w:p w14:paraId="67DA078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（一）以出售方式再转让农村集体经营性建设用地使用权（包括地上的建筑物及其附着物）的，销售价款为再转让收入；</w:t>
      </w:r>
    </w:p>
    <w:p w14:paraId="54230A1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（二）以租赁方式再转让的，总租金为再转让收入；</w:t>
      </w:r>
    </w:p>
    <w:p w14:paraId="0A9B2F8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（三）以交换方式再转让农村集体经营性建设用地使用权（包括地上的建筑物及其附着物）的，被转让土地与交换土地或房产的评估价差额与合同约定差价补偿款中较大者为再转让收入；</w:t>
      </w:r>
    </w:p>
    <w:p w14:paraId="45361A7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（四）以抵债、司法裁定等视同转让方式再转让的，评估价或合同协议价中较高者为再转让收入；</w:t>
      </w:r>
    </w:p>
    <w:p w14:paraId="3E195D0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（五）对无偿赠与直系亲属或承担直接赡养义务，以及通过境内非营利性社会团体、国家机关赠与国内教育、民政等公益福利事业的，暂不征收调节金。其他赠与行为以评估价为再转让收入。</w:t>
      </w:r>
    </w:p>
    <w:p w14:paraId="76AA8E0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第十条　农村集体经营性建设用地入市、再转让价格低于基准地价80%的，县人民政府有优先购买权。</w:t>
      </w:r>
    </w:p>
    <w:p w14:paraId="589450A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第十一条　改变土地用途或土地使用条件所产生的土地增值收益，从改变土地用途和提高容积率所补缴的土地价款中计提，土地使用权人应当按照本办法第八条规定的计提比例缴纳调节金。</w:t>
      </w:r>
    </w:p>
    <w:p w14:paraId="7F1EE29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第十二条　农村集体经营性建设用地使用权交易通过公共交易平台进行，交易双方签订书面合同。县自然资源局根据合同和交易信息，核定调节金应缴金额，开具缴款通知书。缴款通知书应载明成交地块名称、坐落、面积、交易方式、成交总价款、调节金金额、缴纳义务人和缴纳期限等。</w:t>
      </w:r>
    </w:p>
    <w:p w14:paraId="7D7841B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第十三条　调节金缴纳义务时间和收缴方式</w:t>
      </w:r>
    </w:p>
    <w:p w14:paraId="7123E80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（一）出让农村集体经营性建设用地使用权，缴纳调节金义务时间为交易合同约定的出让价格结算完成后3个工作日内，由出让人向县财政局申请缴纳；</w:t>
      </w:r>
    </w:p>
    <w:p w14:paraId="7A8A908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（二）租赁农村集体经营性建设用地使用权，缴纳调节金义务时间为合同签订后3个工作日内，农村集体经济组织向县财政局申请缴纳；</w:t>
      </w:r>
    </w:p>
    <w:p w14:paraId="27E424F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（三）转让农村集体经营性建设用地使用权，缴纳调节金义务时间为合同签订后5个工作日内，由转让人向县财政局申请缴纳。</w:t>
      </w:r>
    </w:p>
    <w:p w14:paraId="046C509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第十四条　农村集体经营性建设用地使用权交易方按合同支付价款及税费、调节金后，按规定办理不动产登记手续。调节金缴纳凭证是农村集体经营性建设用地入市和再转让办理不动产手续的要件。</w:t>
      </w:r>
    </w:p>
    <w:p w14:paraId="4886AE9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第十五条　调节金全额上缴国库，纳入一般公共预算管理。调节金具体缴库办法按照省级财政部门非税收入收缴管理有关规定执行，暂填列政府预算收支分类科目"1039999其他收入"。</w:t>
      </w:r>
    </w:p>
    <w:p w14:paraId="6DBE3E3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第十六条　调节金由县财政局与乡镇按照1:9比例进行分配。调节金征收相关工作经费列入一般公共预算。</w:t>
      </w:r>
    </w:p>
    <w:p w14:paraId="4BE374B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第十七条　县财政局、县自然资源局与县审计局要加强对调节金使用的监督管理，确保资金使用符合规定用途和预算管理要求。</w:t>
      </w:r>
    </w:p>
    <w:p w14:paraId="722A324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第十八条　调节金缴纳义务人应按合同、协议及缴款通知书规定及时足额缴纳调节金。对未按规定及时足额缴纳调节金的，县财政局、县自然资源局等相关部门有权采取措施督促其补缴。</w:t>
      </w:r>
    </w:p>
    <w:p w14:paraId="700073C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第十九条　对伪造、变造合同或串通订立虚假合同以及采取违规篡改历史成本、虚列扣除项目等其他不正当手段逃避缴纳调节金的，由县财政局、县自然资源局责令改正。</w:t>
      </w:r>
    </w:p>
    <w:p w14:paraId="7F16A8B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第二十条　单位和个人违反本意见规定，有下列情形之一的，依照《财政违法行为处罚处分条例》《违反行政事业性收费和罚没收入收支两条线管理规定行政处分暂行规定》等有关规定追究法律责任；涉嫌犯罪的，依法移送司法机关处理：</w:t>
      </w:r>
    </w:p>
    <w:p w14:paraId="50F8D45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（一）擅自减免调节金或者改变调节金征收范围、对象和标准；</w:t>
      </w:r>
    </w:p>
    <w:p w14:paraId="2B434B2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（二）隐瞒、坐支应当上缴的调节金；</w:t>
      </w:r>
    </w:p>
    <w:p w14:paraId="6997B75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（三）滞留、截留、挪用应当上缴的调节金；</w:t>
      </w:r>
    </w:p>
    <w:p w14:paraId="4AC0D0B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（四）不按照规定的预算级次、预算科目将调节金缴入国库；</w:t>
      </w:r>
    </w:p>
    <w:p w14:paraId="0C50D40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（五）其他违反国家财政收入管理规定的行为。</w:t>
      </w:r>
    </w:p>
    <w:p w14:paraId="0C5E209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第三章　入市收益</w:t>
      </w:r>
    </w:p>
    <w:p w14:paraId="6CD6CC4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第二十一条　农村集体经营性建设用地入市收益按集体土地所有权归属，归农村集体经济组织所有。</w:t>
      </w:r>
    </w:p>
    <w:p w14:paraId="0E016D8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第二十二条　入市收益应实行专项管理，主要用于集体成员的社会保障安排、农村基础设施和公共服务设施建设、民生项目等支出。</w:t>
      </w:r>
    </w:p>
    <w:p w14:paraId="5678616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第二十三条　入市收益的使用应在乡镇的监督指导下，根据相关规定制定集体内部土地入市收益分配和使用方案，经代表其所有权的农村集体</w:t>
      </w:r>
      <w:r>
        <w:rPr>
          <w:rFonts w:hint="eastAsia" w:ascii="方正仿宋_GBK" w:hAnsi="方正仿宋_GBK" w:eastAsia="方正仿宋_GBK" w:cs="方正仿宋_GBK"/>
          <w:snapToGrid w:val="0"/>
          <w:color w:val="auto"/>
          <w:kern w:val="0"/>
          <w:sz w:val="32"/>
          <w:szCs w:val="32"/>
          <w:lang w:eastAsia="zh-CN"/>
        </w:rPr>
        <w:t>经济</w:t>
      </w:r>
      <w:r>
        <w:rPr>
          <w:rFonts w:hint="eastAsia" w:ascii="方正仿宋_GBK" w:hAnsi="方正仿宋_GBK" w:eastAsia="方正仿宋_GBK" w:cs="方正仿宋_GBK"/>
          <w:snapToGrid w:val="0"/>
          <w:color w:val="auto"/>
          <w:kern w:val="0"/>
          <w:sz w:val="32"/>
          <w:szCs w:val="32"/>
          <w:lang w:eastAsia="en-US"/>
        </w:rPr>
        <w:t>组织三分之二以上成员同意或依法授权同意，报乡镇备案后实施。</w:t>
      </w:r>
    </w:p>
    <w:p w14:paraId="0A02F6C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第二十四条　农村集体资产管理部门应建立农村集体经济组织集体经营性建设用地入市收益专项审计制度，也可以委托审计部门或者中介机构对入市收益使用情况进行专项审计，审计结果应及时公开。</w:t>
      </w:r>
    </w:p>
    <w:p w14:paraId="672DB47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第二十五条　在入市收益管理监督过程中，发现违反有关规定的单位和个人要及时依法依规处理，涉嫌违法犯罪的，移交司法机关处理。</w:t>
      </w:r>
    </w:p>
    <w:p w14:paraId="7DC3FDE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第四章　附则</w:t>
      </w:r>
    </w:p>
    <w:p w14:paraId="2870621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r>
        <w:rPr>
          <w:rFonts w:hint="eastAsia" w:ascii="方正仿宋_GBK" w:hAnsi="方正仿宋_GBK" w:eastAsia="方正仿宋_GBK" w:cs="方正仿宋_GBK"/>
          <w:snapToGrid w:val="0"/>
          <w:color w:val="auto"/>
          <w:kern w:val="0"/>
          <w:sz w:val="32"/>
          <w:szCs w:val="32"/>
          <w:lang w:eastAsia="en-US"/>
        </w:rPr>
        <w:t>第二十六条　本办法自公布之日起执行，执行期间如遇上级政策调整，则以新政策为准。</w:t>
      </w:r>
    </w:p>
    <w:p w14:paraId="0D15BCC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2148B89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651C1C8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4D6442A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3A83ED5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010226C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方正仿宋_GBK" w:hAnsi="方正仿宋_GBK" w:eastAsia="方正仿宋_GBK" w:cs="方正仿宋_GBK"/>
          <w:snapToGrid w:val="0"/>
          <w:color w:val="auto"/>
          <w:kern w:val="0"/>
          <w:sz w:val="32"/>
          <w:szCs w:val="32"/>
          <w:lang w:eastAsia="en-US"/>
        </w:rPr>
      </w:pPr>
    </w:p>
    <w:p w14:paraId="0E1DCB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C62EE"/>
    <w:rsid w:val="7A2C6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2026-08-31T07:48:00Z</dcterms:created>
  <dc:creator>苏三</dc:creator>
  <cp:lastModifiedBy>苏三</cp:lastModifiedBy>
  <dcterms:modified xsi:type="dcterms:W3CDTF">2026-08-31T07:50:12Z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6BA568BED243468D9E842F27B643D258_11</vt:lpwstr>
  </property>
  <property fmtid="{D5CDD505-2E9C-101B-9397-08002B2CF9AE}" pid="4" name="KSOTemplateDocerSaveRecord">
    <vt:lpwstr>eyJoZGlkIjoiMDEwYTVlNTY0ZGYyMmRkMDFlODM4YmRjY2ZmYWU1ODYiLCJ1c2VySWQiOiIzMTAwNDM2NDcifQ==</vt:lpwstr>
  </property>
</Properties>
</file>