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BF056">
      <w:pPr>
        <w:spacing w:line="560" w:lineRule="exact"/>
        <w:ind w:firstLine="560"/>
        <w:rPr>
          <w:rFonts w:ascii="黑体" w:hAnsi="黑体" w:eastAsia="黑体"/>
          <w:color w:val="000000"/>
          <w:sz w:val="28"/>
          <w:szCs w:val="28"/>
          <w:highlight w:val="none"/>
        </w:rPr>
      </w:pPr>
      <w:r>
        <w:rPr>
          <w:rFonts w:hint="eastAsia" w:ascii="黑体" w:hAnsi="黑体" w:eastAsia="黑体"/>
          <w:color w:val="000000"/>
          <w:sz w:val="28"/>
          <w:szCs w:val="28"/>
          <w:highlight w:val="none"/>
        </w:rPr>
        <w:t>附件1</w:t>
      </w:r>
    </w:p>
    <w:p w14:paraId="445BC18F">
      <w:pPr>
        <w:ind w:firstLine="720"/>
        <w:jc w:val="center"/>
        <w:rPr>
          <w:rFonts w:ascii="黑体" w:hAnsi="黑体" w:eastAsia="黑体"/>
          <w:color w:val="000000"/>
          <w:sz w:val="36"/>
          <w:szCs w:val="36"/>
          <w:highlight w:val="none"/>
        </w:rPr>
      </w:pPr>
      <w:bookmarkStart w:id="0" w:name="_GoBack"/>
      <w:r>
        <w:rPr>
          <w:rFonts w:hint="eastAsia" w:ascii="黑体" w:hAnsi="黑体" w:eastAsia="黑体"/>
          <w:color w:val="000000"/>
          <w:sz w:val="36"/>
          <w:szCs w:val="36"/>
          <w:highlight w:val="none"/>
          <w:lang w:val="en-US" w:eastAsia="zh-CN"/>
        </w:rPr>
        <w:t>中鱼口镇人民政府</w:t>
      </w:r>
      <w:r>
        <w:rPr>
          <w:rFonts w:hint="eastAsia" w:ascii="黑体" w:hAnsi="黑体" w:eastAsia="黑体"/>
          <w:color w:val="000000"/>
          <w:sz w:val="36"/>
          <w:szCs w:val="36"/>
          <w:highlight w:val="none"/>
          <w:lang w:eastAsia="zh-CN"/>
        </w:rPr>
        <w:t>202</w:t>
      </w:r>
      <w:r>
        <w:rPr>
          <w:rFonts w:hint="eastAsia" w:ascii="黑体" w:hAnsi="黑体" w:eastAsia="黑体"/>
          <w:color w:val="000000"/>
          <w:sz w:val="36"/>
          <w:szCs w:val="36"/>
          <w:highlight w:val="none"/>
          <w:lang w:val="en-US" w:eastAsia="zh-CN"/>
        </w:rPr>
        <w:t>4</w:t>
      </w:r>
      <w:r>
        <w:rPr>
          <w:rFonts w:hint="eastAsia" w:ascii="黑体" w:hAnsi="黑体" w:eastAsia="黑体"/>
          <w:color w:val="000000"/>
          <w:sz w:val="36"/>
          <w:szCs w:val="36"/>
          <w:highlight w:val="none"/>
          <w:lang w:eastAsia="zh-CN"/>
        </w:rPr>
        <w:t>年</w:t>
      </w:r>
      <w:r>
        <w:rPr>
          <w:rFonts w:hint="eastAsia" w:ascii="黑体" w:hAnsi="黑体" w:eastAsia="黑体"/>
          <w:color w:val="000000"/>
          <w:sz w:val="36"/>
          <w:szCs w:val="36"/>
          <w:highlight w:val="none"/>
        </w:rPr>
        <w:t>部门整体支出绩效自评指标计分表</w:t>
      </w:r>
    </w:p>
    <w:bookmarkEnd w:id="0"/>
    <w:p w14:paraId="7EECD00D">
      <w:pPr>
        <w:spacing w:line="300" w:lineRule="exact"/>
        <w:ind w:firstLine="640"/>
        <w:rPr>
          <w:rFonts w:ascii="黑体" w:hAnsi="黑体" w:eastAsia="黑体"/>
          <w:color w:val="000000"/>
          <w:highlight w:val="none"/>
        </w:rPr>
      </w:pPr>
      <w:r>
        <w:rPr>
          <w:rFonts w:hint="eastAsia" w:ascii="黑体" w:hAnsi="黑体" w:eastAsia="黑体"/>
          <w:color w:val="000000"/>
          <w:highlight w:val="none"/>
        </w:rPr>
        <w:t xml:space="preserve"> </w:t>
      </w:r>
    </w:p>
    <w:tbl>
      <w:tblPr>
        <w:tblStyle w:val="2"/>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14:paraId="0F47A367">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14:paraId="427D2AF4">
            <w:pPr>
              <w:spacing w:line="240" w:lineRule="exact"/>
              <w:jc w:val="center"/>
              <w:rPr>
                <w:rFonts w:hint="eastAsia" w:ascii="黑体" w:hAnsi="黑体" w:eastAsia="黑体"/>
                <w:color w:val="000000"/>
                <w:highlight w:val="none"/>
                <w:lang w:eastAsia="zh-CN"/>
              </w:rPr>
            </w:pPr>
            <w:r>
              <w:rPr>
                <w:rFonts w:hint="eastAsia" w:ascii="黑体" w:hAnsi="黑体" w:eastAsia="黑体"/>
                <w:color w:val="000000"/>
                <w:highlight w:val="none"/>
              </w:rPr>
              <w:t>一级</w:t>
            </w:r>
          </w:p>
          <w:p w14:paraId="0AB16BC6">
            <w:pPr>
              <w:spacing w:line="240" w:lineRule="exact"/>
              <w:jc w:val="center"/>
              <w:rPr>
                <w:rFonts w:ascii="黑体" w:hAnsi="黑体" w:eastAsia="黑体"/>
                <w:color w:val="000000"/>
                <w:highlight w:val="none"/>
              </w:rPr>
            </w:pPr>
            <w:r>
              <w:rPr>
                <w:rFonts w:hint="eastAsia" w:ascii="黑体" w:hAnsi="黑体" w:eastAsia="黑体"/>
                <w:color w:val="000000"/>
                <w:highlight w:val="none"/>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5E5F92E">
            <w:pPr>
              <w:spacing w:line="240" w:lineRule="exact"/>
              <w:jc w:val="center"/>
              <w:rPr>
                <w:rFonts w:ascii="黑体" w:hAnsi="黑体" w:eastAsia="黑体"/>
                <w:color w:val="000000"/>
                <w:highlight w:val="none"/>
              </w:rPr>
            </w:pPr>
            <w:r>
              <w:rPr>
                <w:rFonts w:hint="eastAsia" w:ascii="黑体" w:hAnsi="黑体" w:eastAsia="黑体"/>
                <w:color w:val="000000"/>
                <w:highlight w:val="none"/>
              </w:rPr>
              <w:t>二级</w:t>
            </w:r>
          </w:p>
          <w:p w14:paraId="43E56B57">
            <w:pPr>
              <w:spacing w:line="240" w:lineRule="exact"/>
              <w:jc w:val="center"/>
              <w:rPr>
                <w:rFonts w:ascii="黑体" w:hAnsi="黑体" w:eastAsia="黑体"/>
                <w:color w:val="000000"/>
                <w:highlight w:val="none"/>
              </w:rPr>
            </w:pPr>
            <w:r>
              <w:rPr>
                <w:rFonts w:hint="eastAsia" w:ascii="黑体" w:hAnsi="黑体" w:eastAsia="黑体"/>
                <w:color w:val="000000"/>
                <w:highlight w:val="none"/>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51D0ECCC">
            <w:pPr>
              <w:spacing w:line="240" w:lineRule="exact"/>
              <w:jc w:val="center"/>
              <w:rPr>
                <w:rFonts w:ascii="黑体" w:hAnsi="黑体" w:eastAsia="黑体"/>
                <w:color w:val="000000"/>
                <w:highlight w:val="none"/>
              </w:rPr>
            </w:pPr>
            <w:r>
              <w:rPr>
                <w:rFonts w:hint="eastAsia" w:ascii="黑体" w:hAnsi="黑体" w:eastAsia="黑体"/>
                <w:color w:val="000000"/>
                <w:highlight w:val="none"/>
              </w:rPr>
              <w:t>三级  指标</w:t>
            </w:r>
          </w:p>
        </w:tc>
        <w:tc>
          <w:tcPr>
            <w:tcW w:w="684" w:type="dxa"/>
            <w:tcBorders>
              <w:top w:val="single" w:color="auto" w:sz="4" w:space="0"/>
              <w:left w:val="nil"/>
              <w:bottom w:val="single" w:color="auto" w:sz="4" w:space="0"/>
              <w:right w:val="single" w:color="auto" w:sz="4" w:space="0"/>
            </w:tcBorders>
            <w:vAlign w:val="center"/>
          </w:tcPr>
          <w:p w14:paraId="67D2EBE5">
            <w:pPr>
              <w:spacing w:line="240" w:lineRule="exact"/>
              <w:jc w:val="center"/>
              <w:rPr>
                <w:rFonts w:ascii="黑体" w:hAnsi="黑体" w:eastAsia="黑体"/>
                <w:color w:val="000000"/>
                <w:highlight w:val="none"/>
              </w:rPr>
            </w:pPr>
            <w:r>
              <w:rPr>
                <w:rFonts w:hint="eastAsia" w:ascii="黑体" w:hAnsi="黑体" w:eastAsia="黑体"/>
                <w:color w:val="000000"/>
                <w:highlight w:val="none"/>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7952D1F">
            <w:pPr>
              <w:spacing w:line="240" w:lineRule="exact"/>
              <w:jc w:val="center"/>
              <w:rPr>
                <w:rFonts w:ascii="黑体" w:hAnsi="黑体" w:eastAsia="黑体"/>
                <w:color w:val="000000"/>
                <w:highlight w:val="none"/>
              </w:rPr>
            </w:pPr>
            <w:r>
              <w:rPr>
                <w:rFonts w:hint="eastAsia" w:ascii="黑体" w:hAnsi="黑体" w:eastAsia="黑体"/>
                <w:color w:val="000000"/>
                <w:highlight w:val="none"/>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288824B">
            <w:pPr>
              <w:spacing w:line="240" w:lineRule="exact"/>
              <w:jc w:val="center"/>
              <w:rPr>
                <w:rFonts w:ascii="黑体" w:hAnsi="黑体" w:eastAsia="黑体"/>
                <w:color w:val="000000"/>
                <w:highlight w:val="none"/>
              </w:rPr>
            </w:pPr>
            <w:r>
              <w:rPr>
                <w:rFonts w:hint="eastAsia" w:ascii="黑体" w:hAnsi="黑体" w:eastAsia="黑体"/>
                <w:color w:val="000000"/>
                <w:highlight w:val="none"/>
              </w:rPr>
              <w:t>指标说明</w:t>
            </w:r>
          </w:p>
        </w:tc>
      </w:tr>
      <w:tr w14:paraId="1D48923B">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470DB7F9">
            <w:pPr>
              <w:spacing w:line="240" w:lineRule="exact"/>
              <w:jc w:val="center"/>
              <w:rPr>
                <w:rFonts w:ascii="仿宋_GB2312" w:hAnsi="宋体"/>
                <w:color w:val="000000"/>
                <w:highlight w:val="none"/>
              </w:rPr>
            </w:pPr>
            <w:r>
              <w:rPr>
                <w:rFonts w:hint="eastAsia" w:ascii="仿宋_GB2312" w:hAnsi="宋体"/>
                <w:color w:val="000000"/>
                <w:highlight w:val="none"/>
              </w:rPr>
              <w:t>投 入</w:t>
            </w:r>
          </w:p>
          <w:p w14:paraId="6DCE4B84">
            <w:pPr>
              <w:spacing w:line="240" w:lineRule="exact"/>
              <w:jc w:val="center"/>
              <w:rPr>
                <w:rFonts w:ascii="仿宋_GB2312" w:hAnsi="宋体"/>
                <w:color w:val="000000"/>
                <w:highlight w:val="none"/>
              </w:rPr>
            </w:pPr>
            <w:r>
              <w:rPr>
                <w:rFonts w:hint="eastAsia" w:ascii="仿宋_GB2312" w:hAnsi="宋体"/>
                <w:color w:val="000000"/>
                <w:highlight w:val="none"/>
              </w:rPr>
              <w:t>（</w:t>
            </w:r>
            <w:r>
              <w:rPr>
                <w:rFonts w:hint="eastAsia" w:ascii="仿宋_GB2312" w:hAnsi="宋体" w:eastAsia="仿宋_GB2312"/>
                <w:color w:val="000000"/>
                <w:highlight w:val="none"/>
              </w:rPr>
              <w:t>20</w:t>
            </w:r>
            <w:r>
              <w:rPr>
                <w:rFonts w:hint="eastAsia" w:ascii="宋体" w:hAnsi="宋体"/>
                <w:color w:val="000000"/>
                <w:highlight w:val="none"/>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4C27719E">
            <w:pPr>
              <w:spacing w:line="240" w:lineRule="exact"/>
              <w:jc w:val="center"/>
              <w:rPr>
                <w:rFonts w:hint="eastAsia" w:ascii="宋体" w:hAnsi="宋体" w:eastAsiaTheme="minorEastAsia"/>
                <w:color w:val="000000"/>
                <w:sz w:val="18"/>
                <w:szCs w:val="18"/>
                <w:highlight w:val="none"/>
                <w:lang w:eastAsia="zh-CN"/>
              </w:rPr>
            </w:pPr>
            <w:r>
              <w:rPr>
                <w:rFonts w:hint="eastAsia" w:ascii="宋体" w:hAnsi="宋体"/>
                <w:color w:val="000000"/>
                <w:sz w:val="18"/>
                <w:szCs w:val="18"/>
                <w:highlight w:val="none"/>
              </w:rPr>
              <w:t>目标</w:t>
            </w:r>
          </w:p>
          <w:p w14:paraId="62E51AFC">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设定</w:t>
            </w:r>
          </w:p>
          <w:p w14:paraId="612D313F">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72124CFA">
            <w:pPr>
              <w:spacing w:line="240" w:lineRule="exact"/>
              <w:rPr>
                <w:rFonts w:ascii="宋体" w:hAnsi="宋体"/>
                <w:color w:val="000000"/>
                <w:sz w:val="18"/>
                <w:szCs w:val="18"/>
                <w:highlight w:val="none"/>
              </w:rPr>
            </w:pPr>
            <w:r>
              <w:rPr>
                <w:rFonts w:hint="eastAsia" w:ascii="宋体" w:hAnsi="宋体"/>
                <w:color w:val="000000"/>
                <w:sz w:val="18"/>
                <w:szCs w:val="18"/>
                <w:highlight w:val="none"/>
              </w:rPr>
              <w:t>绩效目标合理性</w:t>
            </w:r>
          </w:p>
          <w:p w14:paraId="4BE944B5">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（2分）</w:t>
            </w:r>
          </w:p>
        </w:tc>
        <w:tc>
          <w:tcPr>
            <w:tcW w:w="684" w:type="dxa"/>
            <w:tcBorders>
              <w:top w:val="single" w:color="auto" w:sz="4" w:space="0"/>
              <w:left w:val="nil"/>
              <w:bottom w:val="single" w:color="auto" w:sz="4" w:space="0"/>
              <w:right w:val="single" w:color="auto" w:sz="4" w:space="0"/>
            </w:tcBorders>
            <w:vAlign w:val="center"/>
          </w:tcPr>
          <w:p w14:paraId="729796BD">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2B1A2064">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5F1E25BF">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①符合国家法律法规、国民经济和社会发展总体规划计1分；②符合部门“三定”方案确定的职责计0.5分；③是否符合部门制定的中长期实施规划计0.5分。</w:t>
            </w:r>
          </w:p>
        </w:tc>
      </w:tr>
      <w:tr w14:paraId="40F0E80A">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F92E8E8">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77FF66B0">
            <w:pPr>
              <w:widowControl/>
              <w:jc w:val="left"/>
              <w:rPr>
                <w:rFonts w:ascii="宋体"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4A094F52">
            <w:pPr>
              <w:spacing w:line="240" w:lineRule="exact"/>
              <w:rPr>
                <w:rFonts w:ascii="宋体" w:hAnsi="宋体"/>
                <w:color w:val="000000"/>
                <w:sz w:val="18"/>
                <w:szCs w:val="18"/>
                <w:highlight w:val="none"/>
              </w:rPr>
            </w:pPr>
            <w:r>
              <w:rPr>
                <w:rFonts w:hint="eastAsia" w:ascii="宋体" w:hAnsi="宋体"/>
                <w:color w:val="000000"/>
                <w:sz w:val="18"/>
                <w:szCs w:val="18"/>
                <w:highlight w:val="none"/>
              </w:rPr>
              <w:t>绩效指标明确性</w:t>
            </w:r>
          </w:p>
          <w:p w14:paraId="36185B4A">
            <w:pPr>
              <w:spacing w:line="240" w:lineRule="exact"/>
              <w:rPr>
                <w:rFonts w:ascii="宋体" w:hAnsi="宋体"/>
                <w:color w:val="000000"/>
                <w:sz w:val="18"/>
                <w:szCs w:val="18"/>
                <w:highlight w:val="none"/>
              </w:rPr>
            </w:pPr>
            <w:r>
              <w:rPr>
                <w:rFonts w:hint="eastAsia" w:ascii="宋体" w:hAnsi="宋体"/>
                <w:color w:val="000000"/>
                <w:sz w:val="18"/>
                <w:szCs w:val="18"/>
                <w:highlight w:val="none"/>
              </w:rPr>
              <w:t>（3分）</w:t>
            </w:r>
          </w:p>
        </w:tc>
        <w:tc>
          <w:tcPr>
            <w:tcW w:w="684" w:type="dxa"/>
            <w:tcBorders>
              <w:top w:val="single" w:color="auto" w:sz="4" w:space="0"/>
              <w:left w:val="nil"/>
              <w:bottom w:val="single" w:color="auto" w:sz="4" w:space="0"/>
              <w:right w:val="single" w:color="auto" w:sz="4" w:space="0"/>
            </w:tcBorders>
            <w:vAlign w:val="center"/>
          </w:tcPr>
          <w:p w14:paraId="6741FB63">
            <w:pPr>
              <w:spacing w:line="240" w:lineRule="exact"/>
              <w:jc w:val="center"/>
              <w:rPr>
                <w:rFonts w:hint="eastAsia" w:ascii="宋体" w:hAnsi="宋体" w:eastAsia="宋体"/>
                <w:color w:val="000000"/>
                <w:sz w:val="18"/>
                <w:szCs w:val="18"/>
                <w:highlight w:val="none"/>
                <w:lang w:eastAsia="zh-CN"/>
              </w:rPr>
            </w:pPr>
            <w:r>
              <w:rPr>
                <w:rFonts w:hint="eastAsia" w:ascii="宋体" w:hAnsi="宋体"/>
                <w:color w:val="000000"/>
                <w:sz w:val="18"/>
                <w:szCs w:val="18"/>
                <w:highlight w:val="none"/>
                <w:lang w:val="en-US" w:eastAsia="zh-CN"/>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40789305">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15A4CA13">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①将部门整体的绩效目标细化分解为具体的工作任务计1分；②通过清晰、可衡量的指标值予以体现计0.5分。③与部门年度的任务数或计划数相对应计0.5分；④与本年度部门预算资金相匹配计1分。</w:t>
            </w:r>
          </w:p>
        </w:tc>
      </w:tr>
      <w:tr w14:paraId="3F2E7060">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68DE3CD1">
            <w:pPr>
              <w:widowControl/>
              <w:jc w:val="left"/>
              <w:rPr>
                <w:rFonts w:ascii="仿宋_GB2312" w:hAnsi="宋体"/>
                <w:color w:val="000000"/>
                <w:highlight w:val="none"/>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07ABB4C7">
            <w:pPr>
              <w:spacing w:line="240" w:lineRule="exact"/>
              <w:jc w:val="center"/>
              <w:rPr>
                <w:rFonts w:hint="eastAsia" w:ascii="宋体" w:hAnsi="宋体" w:eastAsiaTheme="minorEastAsia"/>
                <w:color w:val="000000"/>
                <w:sz w:val="18"/>
                <w:szCs w:val="18"/>
                <w:highlight w:val="none"/>
                <w:lang w:eastAsia="zh-CN"/>
              </w:rPr>
            </w:pPr>
            <w:r>
              <w:rPr>
                <w:rFonts w:hint="eastAsia" w:ascii="宋体" w:hAnsi="宋体"/>
                <w:color w:val="000000"/>
                <w:sz w:val="18"/>
                <w:szCs w:val="18"/>
                <w:highlight w:val="none"/>
              </w:rPr>
              <w:t>预算</w:t>
            </w:r>
          </w:p>
          <w:p w14:paraId="64B694E8">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配置</w:t>
            </w:r>
          </w:p>
          <w:p w14:paraId="5B02FDEE">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4DFB97B9">
            <w:pPr>
              <w:spacing w:line="240" w:lineRule="exact"/>
              <w:rPr>
                <w:rFonts w:ascii="宋体" w:hAnsi="宋体"/>
                <w:color w:val="000000"/>
                <w:sz w:val="18"/>
                <w:szCs w:val="18"/>
                <w:highlight w:val="none"/>
              </w:rPr>
            </w:pPr>
            <w:r>
              <w:rPr>
                <w:rFonts w:hint="eastAsia" w:ascii="宋体" w:hAnsi="宋体"/>
                <w:color w:val="000000"/>
                <w:sz w:val="18"/>
                <w:szCs w:val="18"/>
                <w:highlight w:val="none"/>
              </w:rPr>
              <w:t>在职人员控制率</w:t>
            </w:r>
          </w:p>
          <w:p w14:paraId="45BE3A6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（5分）</w:t>
            </w:r>
          </w:p>
        </w:tc>
        <w:tc>
          <w:tcPr>
            <w:tcW w:w="684" w:type="dxa"/>
            <w:tcBorders>
              <w:top w:val="single" w:color="auto" w:sz="4" w:space="0"/>
              <w:left w:val="nil"/>
              <w:bottom w:val="single" w:color="auto" w:sz="4" w:space="0"/>
              <w:right w:val="single" w:color="auto" w:sz="4" w:space="0"/>
            </w:tcBorders>
            <w:vAlign w:val="center"/>
          </w:tcPr>
          <w:p w14:paraId="28D28B23">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4B3E4E0D">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0387EFBF">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059FDC8A">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41985289">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264B33BB">
            <w:pPr>
              <w:widowControl/>
              <w:jc w:val="left"/>
              <w:rPr>
                <w:rFonts w:ascii="宋体"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3E20DDA0">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“三公</w:t>
            </w:r>
          </w:p>
          <w:p w14:paraId="729B6163">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经费”</w:t>
            </w:r>
          </w:p>
          <w:p w14:paraId="70F8FB7D">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变动率</w:t>
            </w:r>
          </w:p>
          <w:p w14:paraId="307F7171">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（5分）</w:t>
            </w:r>
          </w:p>
        </w:tc>
        <w:tc>
          <w:tcPr>
            <w:tcW w:w="684" w:type="dxa"/>
            <w:tcBorders>
              <w:top w:val="single" w:color="auto" w:sz="4" w:space="0"/>
              <w:left w:val="nil"/>
              <w:bottom w:val="single" w:color="auto" w:sz="4" w:space="0"/>
              <w:right w:val="single" w:color="auto" w:sz="4" w:space="0"/>
            </w:tcBorders>
            <w:vAlign w:val="center"/>
          </w:tcPr>
          <w:p w14:paraId="55FFE3C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5610AFEC">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6CFF721D">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1BBBD473">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D092405">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2516DE78">
            <w:pPr>
              <w:widowControl/>
              <w:jc w:val="left"/>
              <w:rPr>
                <w:rFonts w:ascii="宋体"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31E235A1">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重点支出安排率</w:t>
            </w:r>
          </w:p>
          <w:p w14:paraId="5E3673D3">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（5分）</w:t>
            </w:r>
          </w:p>
        </w:tc>
        <w:tc>
          <w:tcPr>
            <w:tcW w:w="684" w:type="dxa"/>
            <w:tcBorders>
              <w:top w:val="single" w:color="auto" w:sz="4" w:space="0"/>
              <w:left w:val="nil"/>
              <w:bottom w:val="single" w:color="auto" w:sz="4" w:space="0"/>
              <w:right w:val="single" w:color="auto" w:sz="4" w:space="0"/>
            </w:tcBorders>
            <w:vAlign w:val="center"/>
          </w:tcPr>
          <w:p w14:paraId="663B8482">
            <w:pPr>
              <w:spacing w:line="240" w:lineRule="exact"/>
              <w:jc w:val="center"/>
              <w:rPr>
                <w:rFonts w:hint="default" w:ascii="宋体" w:hAnsi="宋体" w:eastAsia="宋体"/>
                <w:color w:val="000000"/>
                <w:sz w:val="18"/>
                <w:szCs w:val="18"/>
                <w:highlight w:val="none"/>
                <w:lang w:val="en-US" w:eastAsia="zh-CN"/>
              </w:rPr>
            </w:pPr>
            <w:r>
              <w:rPr>
                <w:rFonts w:hint="eastAsia" w:ascii="宋体" w:hAnsi="宋体"/>
                <w:color w:val="000000"/>
                <w:sz w:val="18"/>
                <w:szCs w:val="18"/>
                <w:highlight w:val="none"/>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55928476">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216EE1A8">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1169F83D">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7CC576B2">
            <w:pPr>
              <w:spacing w:line="240" w:lineRule="exact"/>
              <w:jc w:val="center"/>
              <w:rPr>
                <w:rFonts w:ascii="仿宋_GB2312" w:hAnsi="宋体"/>
                <w:color w:val="000000"/>
                <w:highlight w:val="none"/>
              </w:rPr>
            </w:pPr>
            <w:r>
              <w:rPr>
                <w:rFonts w:hint="eastAsia" w:ascii="仿宋_GB2312" w:hAnsi="宋体"/>
                <w:color w:val="000000"/>
                <w:highlight w:val="none"/>
              </w:rPr>
              <w:t>过  程（</w:t>
            </w:r>
            <w:r>
              <w:rPr>
                <w:rFonts w:hint="eastAsia" w:ascii="仿宋_GB2312" w:hAnsi="宋体" w:eastAsia="仿宋_GB2312"/>
                <w:color w:val="000000"/>
                <w:highlight w:val="none"/>
              </w:rPr>
              <w:t>30</w:t>
            </w:r>
            <w:r>
              <w:rPr>
                <w:rFonts w:hint="eastAsia" w:ascii="宋体" w:hAnsi="宋体"/>
                <w:color w:val="000000"/>
                <w:highlight w:val="none"/>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66BD33CC">
            <w:pPr>
              <w:spacing w:line="240" w:lineRule="exact"/>
              <w:jc w:val="center"/>
              <w:rPr>
                <w:rFonts w:hint="eastAsia" w:ascii="宋体" w:hAnsi="宋体" w:eastAsiaTheme="minorEastAsia"/>
                <w:color w:val="000000"/>
                <w:sz w:val="18"/>
                <w:szCs w:val="18"/>
                <w:highlight w:val="none"/>
                <w:lang w:eastAsia="zh-CN"/>
              </w:rPr>
            </w:pPr>
            <w:r>
              <w:rPr>
                <w:rFonts w:hint="eastAsia" w:ascii="宋体" w:hAnsi="宋体"/>
                <w:color w:val="000000"/>
                <w:sz w:val="18"/>
                <w:szCs w:val="18"/>
                <w:highlight w:val="none"/>
              </w:rPr>
              <w:t>预算</w:t>
            </w:r>
          </w:p>
          <w:p w14:paraId="3BD020B5">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执行</w:t>
            </w:r>
          </w:p>
          <w:p w14:paraId="1B9DC755">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1CD1E92">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预算</w:t>
            </w:r>
          </w:p>
          <w:p w14:paraId="0BD2FBA4">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完成率</w:t>
            </w:r>
          </w:p>
          <w:p w14:paraId="676A0F68">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（4分）</w:t>
            </w:r>
          </w:p>
        </w:tc>
        <w:tc>
          <w:tcPr>
            <w:tcW w:w="684" w:type="dxa"/>
            <w:tcBorders>
              <w:top w:val="single" w:color="auto" w:sz="4" w:space="0"/>
              <w:left w:val="nil"/>
              <w:bottom w:val="single" w:color="auto" w:sz="4" w:space="0"/>
              <w:right w:val="single" w:color="auto" w:sz="4" w:space="0"/>
            </w:tcBorders>
            <w:vAlign w:val="center"/>
          </w:tcPr>
          <w:p w14:paraId="7FF3FC1E">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2EF0607">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747228D6">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预算完成率=（预算完成数/预算数）×100%。完成年初预算计4分，未完成年初预算按比例扣减，预算完成数：部门本年度实际完成的预算数。预算数：财政部门批复的本年度部门预算数。</w:t>
            </w:r>
          </w:p>
        </w:tc>
      </w:tr>
      <w:tr w14:paraId="2690C7B8">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47618C18">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5D791B7E">
            <w:pPr>
              <w:widowControl/>
              <w:jc w:val="left"/>
              <w:rPr>
                <w:rFonts w:ascii="宋体" w:hAnsi="宋体"/>
                <w:color w:val="000000"/>
                <w:sz w:val="18"/>
                <w:szCs w:val="18"/>
                <w:highlight w:val="none"/>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F47C290">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预算</w:t>
            </w:r>
          </w:p>
          <w:p w14:paraId="3EE242C3">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调整率</w:t>
            </w:r>
          </w:p>
          <w:p w14:paraId="0546D092">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（2分）</w:t>
            </w:r>
          </w:p>
        </w:tc>
        <w:tc>
          <w:tcPr>
            <w:tcW w:w="684" w:type="dxa"/>
            <w:tcBorders>
              <w:top w:val="single" w:color="auto" w:sz="4" w:space="0"/>
              <w:left w:val="nil"/>
              <w:bottom w:val="single" w:color="auto" w:sz="4" w:space="0"/>
              <w:right w:val="single" w:color="auto" w:sz="4" w:space="0"/>
            </w:tcBorders>
            <w:vAlign w:val="center"/>
          </w:tcPr>
          <w:p w14:paraId="5732FAEF">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8F0BFB3">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6E9A76BD">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6C6735E2">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371395C6">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63F5957B">
            <w:pPr>
              <w:widowControl/>
              <w:jc w:val="left"/>
              <w:rPr>
                <w:rFonts w:ascii="宋体" w:hAnsi="宋体"/>
                <w:color w:val="000000"/>
                <w:sz w:val="18"/>
                <w:szCs w:val="18"/>
                <w:highlight w:val="none"/>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325E552">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支付</w:t>
            </w:r>
          </w:p>
          <w:p w14:paraId="204E74BD">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进度率</w:t>
            </w:r>
          </w:p>
          <w:p w14:paraId="6F4844FE">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（2分）</w:t>
            </w:r>
          </w:p>
        </w:tc>
        <w:tc>
          <w:tcPr>
            <w:tcW w:w="684" w:type="dxa"/>
            <w:tcBorders>
              <w:top w:val="single" w:color="auto" w:sz="4" w:space="0"/>
              <w:left w:val="nil"/>
              <w:bottom w:val="single" w:color="auto" w:sz="4" w:space="0"/>
              <w:right w:val="single" w:color="auto" w:sz="4" w:space="0"/>
            </w:tcBorders>
            <w:vAlign w:val="center"/>
          </w:tcPr>
          <w:p w14:paraId="4066507B">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A76DC28">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7A6A6681">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410C4B20">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6200F34C">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367CAC2C">
            <w:pPr>
              <w:widowControl/>
              <w:jc w:val="left"/>
              <w:rPr>
                <w:rFonts w:ascii="宋体" w:hAnsi="宋体"/>
                <w:color w:val="000000"/>
                <w:sz w:val="18"/>
                <w:szCs w:val="18"/>
                <w:highlight w:val="none"/>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0F0AA4D4">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结转结余控制率</w:t>
            </w:r>
          </w:p>
          <w:p w14:paraId="2E5ECA7E">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（4分）</w:t>
            </w:r>
          </w:p>
        </w:tc>
        <w:tc>
          <w:tcPr>
            <w:tcW w:w="684" w:type="dxa"/>
            <w:tcBorders>
              <w:top w:val="single" w:color="auto" w:sz="4" w:space="0"/>
              <w:left w:val="nil"/>
              <w:bottom w:val="single" w:color="auto" w:sz="4" w:space="0"/>
              <w:right w:val="single" w:color="auto" w:sz="4" w:space="0"/>
            </w:tcBorders>
            <w:vAlign w:val="center"/>
          </w:tcPr>
          <w:p w14:paraId="2FF46CAC">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1253DD5">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7C9D83F">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5B217800">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5994B3C9">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7C309523">
            <w:pPr>
              <w:widowControl/>
              <w:jc w:val="left"/>
              <w:rPr>
                <w:rFonts w:ascii="宋体" w:hAnsi="宋体"/>
                <w:color w:val="000000"/>
                <w:sz w:val="18"/>
                <w:szCs w:val="18"/>
                <w:highlight w:val="none"/>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9AA7792">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公用经费控制率</w:t>
            </w:r>
          </w:p>
          <w:p w14:paraId="05DBF34C">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（2分）</w:t>
            </w:r>
          </w:p>
        </w:tc>
        <w:tc>
          <w:tcPr>
            <w:tcW w:w="684" w:type="dxa"/>
            <w:tcBorders>
              <w:top w:val="single" w:color="auto" w:sz="4" w:space="0"/>
              <w:left w:val="nil"/>
              <w:bottom w:val="single" w:color="auto" w:sz="4" w:space="0"/>
              <w:right w:val="single" w:color="auto" w:sz="4" w:space="0"/>
            </w:tcBorders>
            <w:vAlign w:val="center"/>
          </w:tcPr>
          <w:p w14:paraId="19EEE8E8">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350A4D4B">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C83BB38">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公用经费控制率=（实际支出公用经费总额/预算安排公用经费总额）×100%。为100%的计2分，每超过1个百分点扣0.1分，扣完为止。</w:t>
            </w:r>
          </w:p>
        </w:tc>
      </w:tr>
      <w:tr w14:paraId="198F2BC1">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1EFD227C">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15B9D5EE">
            <w:pPr>
              <w:widowControl/>
              <w:jc w:val="left"/>
              <w:rPr>
                <w:rFonts w:ascii="宋体" w:hAnsi="宋体"/>
                <w:color w:val="000000"/>
                <w:sz w:val="18"/>
                <w:szCs w:val="18"/>
                <w:highlight w:val="none"/>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BD1B384">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“三公经费”控制率（2分）</w:t>
            </w:r>
          </w:p>
        </w:tc>
        <w:tc>
          <w:tcPr>
            <w:tcW w:w="684" w:type="dxa"/>
            <w:tcBorders>
              <w:top w:val="single" w:color="auto" w:sz="4" w:space="0"/>
              <w:left w:val="nil"/>
              <w:bottom w:val="single" w:color="auto" w:sz="4" w:space="0"/>
              <w:right w:val="single" w:color="auto" w:sz="4" w:space="0"/>
            </w:tcBorders>
            <w:vAlign w:val="center"/>
          </w:tcPr>
          <w:p w14:paraId="105433D1">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E1AB519">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8513755">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“三公经费”控制率=（“三公经费”实际支出数/“三公经费”预算安排数）×100%。为100%的计2分，每超过1个百分点扣0.5分，扣完为止。</w:t>
            </w:r>
          </w:p>
        </w:tc>
      </w:tr>
      <w:tr w14:paraId="3705BA6A">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2753F261">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02920D9D">
            <w:pPr>
              <w:widowControl/>
              <w:jc w:val="left"/>
              <w:rPr>
                <w:rFonts w:ascii="宋体"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578A0CEF">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政府采购执行率</w:t>
            </w:r>
          </w:p>
          <w:p w14:paraId="287CAF4F">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（4分）</w:t>
            </w:r>
          </w:p>
        </w:tc>
        <w:tc>
          <w:tcPr>
            <w:tcW w:w="684" w:type="dxa"/>
            <w:tcBorders>
              <w:top w:val="single" w:color="auto" w:sz="4" w:space="0"/>
              <w:left w:val="nil"/>
              <w:bottom w:val="single" w:color="auto" w:sz="4" w:space="0"/>
              <w:right w:val="single" w:color="auto" w:sz="4" w:space="0"/>
            </w:tcBorders>
            <w:vAlign w:val="center"/>
          </w:tcPr>
          <w:p w14:paraId="1B1128F0">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6F91F32E">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00463CAD">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78FA147E">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452851A5">
            <w:pPr>
              <w:widowControl/>
              <w:jc w:val="left"/>
              <w:rPr>
                <w:rFonts w:ascii="仿宋_GB2312" w:hAnsi="宋体"/>
                <w:color w:val="000000"/>
                <w:highlight w:val="none"/>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2FF191DB">
            <w:pPr>
              <w:spacing w:line="240" w:lineRule="exact"/>
              <w:jc w:val="center"/>
              <w:rPr>
                <w:rFonts w:ascii="仿宋_GB2312" w:hAnsi="宋体"/>
                <w:color w:val="000000"/>
                <w:highlight w:val="none"/>
              </w:rPr>
            </w:pPr>
            <w:r>
              <w:rPr>
                <w:rFonts w:hint="eastAsia" w:ascii="仿宋_GB2312" w:hAnsi="宋体"/>
                <w:color w:val="000000"/>
                <w:highlight w:val="none"/>
              </w:rPr>
              <w:t>预算</w:t>
            </w:r>
          </w:p>
          <w:p w14:paraId="4C1FC3CF">
            <w:pPr>
              <w:spacing w:line="240" w:lineRule="exact"/>
              <w:jc w:val="center"/>
              <w:rPr>
                <w:rFonts w:ascii="仿宋_GB2312" w:hAnsi="宋体"/>
                <w:color w:val="000000"/>
                <w:highlight w:val="none"/>
              </w:rPr>
            </w:pPr>
            <w:r>
              <w:rPr>
                <w:rFonts w:hint="eastAsia" w:ascii="仿宋_GB2312" w:hAnsi="宋体"/>
                <w:color w:val="000000"/>
                <w:highlight w:val="none"/>
              </w:rPr>
              <w:t>管理</w:t>
            </w:r>
          </w:p>
          <w:p w14:paraId="700FBE67">
            <w:pPr>
              <w:spacing w:line="240" w:lineRule="exact"/>
              <w:jc w:val="center"/>
              <w:rPr>
                <w:rFonts w:ascii="仿宋_GB2312" w:hAnsi="宋体"/>
                <w:color w:val="000000"/>
                <w:highlight w:val="none"/>
              </w:rPr>
            </w:pPr>
            <w:r>
              <w:rPr>
                <w:rFonts w:hint="eastAsia" w:ascii="仿宋_GB2312" w:hAnsi="宋体"/>
                <w:color w:val="000000"/>
                <w:highlight w:val="none"/>
              </w:rPr>
              <w:t>（</w:t>
            </w:r>
            <w:r>
              <w:rPr>
                <w:rFonts w:hint="eastAsia" w:ascii="仿宋_GB2312" w:hAnsi="宋体" w:eastAsia="仿宋_GB2312"/>
                <w:color w:val="000000"/>
                <w:highlight w:val="none"/>
              </w:rPr>
              <w:t>5</w:t>
            </w:r>
            <w:r>
              <w:rPr>
                <w:rFonts w:hint="eastAsia" w:ascii="宋体" w:hAnsi="宋体"/>
                <w:color w:val="000000"/>
                <w:highlight w:val="none"/>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351FCFBA">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管理制度健全性</w:t>
            </w:r>
          </w:p>
          <w:p w14:paraId="7D569E0C">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（2分）</w:t>
            </w:r>
          </w:p>
        </w:tc>
        <w:tc>
          <w:tcPr>
            <w:tcW w:w="684" w:type="dxa"/>
            <w:tcBorders>
              <w:top w:val="single" w:color="auto" w:sz="4" w:space="0"/>
              <w:left w:val="nil"/>
              <w:bottom w:val="single" w:color="auto" w:sz="4" w:space="0"/>
              <w:right w:val="single" w:color="auto" w:sz="4" w:space="0"/>
            </w:tcBorders>
            <w:vAlign w:val="center"/>
          </w:tcPr>
          <w:p w14:paraId="58AD86BD">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19DD0CE4">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3BEC86B7">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已制定或具有预算资金管理办法、内部财务管理制度、会计核算制度等管理制度计1分；相关管理制度合法、合规、完整计0.5分；相关管理制度得到有效执行计0.5分。</w:t>
            </w:r>
          </w:p>
        </w:tc>
      </w:tr>
      <w:tr w14:paraId="29C420C7">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15E4A26B">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376D622D">
            <w:pPr>
              <w:widowControl/>
              <w:jc w:val="left"/>
              <w:rPr>
                <w:rFonts w:ascii="仿宋_GB2312" w:hAnsi="宋体"/>
                <w:color w:val="000000"/>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07B3386C">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资金使用合规性</w:t>
            </w:r>
          </w:p>
          <w:p w14:paraId="1B235612">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（1分）</w:t>
            </w:r>
          </w:p>
        </w:tc>
        <w:tc>
          <w:tcPr>
            <w:tcW w:w="684" w:type="dxa"/>
            <w:tcBorders>
              <w:top w:val="single" w:color="auto" w:sz="4" w:space="0"/>
              <w:left w:val="nil"/>
              <w:bottom w:val="single" w:color="auto" w:sz="4" w:space="0"/>
              <w:right w:val="single" w:color="auto" w:sz="4" w:space="0"/>
            </w:tcBorders>
            <w:vAlign w:val="center"/>
          </w:tcPr>
          <w:p w14:paraId="0A1E34B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53BBF17B">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0997AC8A">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237910A1">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011E5657">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491355DE">
            <w:pPr>
              <w:widowControl/>
              <w:jc w:val="left"/>
              <w:rPr>
                <w:rFonts w:ascii="仿宋_GB2312" w:hAnsi="宋体"/>
                <w:color w:val="000000"/>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5C3B810E">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预决算信息公开性</w:t>
            </w:r>
          </w:p>
          <w:p w14:paraId="7DEDFED8">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（1分）</w:t>
            </w:r>
          </w:p>
        </w:tc>
        <w:tc>
          <w:tcPr>
            <w:tcW w:w="684" w:type="dxa"/>
            <w:tcBorders>
              <w:top w:val="single" w:color="auto" w:sz="4" w:space="0"/>
              <w:left w:val="nil"/>
              <w:bottom w:val="single" w:color="auto" w:sz="4" w:space="0"/>
              <w:right w:val="single" w:color="auto" w:sz="4" w:space="0"/>
            </w:tcBorders>
            <w:vAlign w:val="center"/>
          </w:tcPr>
          <w:p w14:paraId="49BF1747">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3E9C13CE">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1FE9BFB6">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①按规定内容公开预决算信息计0.5分；②按规定时限公开预决算信息计0.5分。预决算信息是指与部门预算、执行、决算、监督、绩效等管理相关的信息。</w:t>
            </w:r>
          </w:p>
        </w:tc>
      </w:tr>
      <w:tr w14:paraId="718146EA">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0D1BDF8E">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465A40C9">
            <w:pPr>
              <w:widowControl/>
              <w:jc w:val="left"/>
              <w:rPr>
                <w:rFonts w:ascii="仿宋_GB2312" w:hAnsi="宋体"/>
                <w:color w:val="000000"/>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43158168">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基础信息完善性</w:t>
            </w:r>
          </w:p>
          <w:p w14:paraId="2CFBC7A4">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（1分）</w:t>
            </w:r>
          </w:p>
        </w:tc>
        <w:tc>
          <w:tcPr>
            <w:tcW w:w="684" w:type="dxa"/>
            <w:tcBorders>
              <w:top w:val="single" w:color="auto" w:sz="4" w:space="0"/>
              <w:left w:val="nil"/>
              <w:bottom w:val="single" w:color="auto" w:sz="4" w:space="0"/>
              <w:right w:val="single" w:color="auto" w:sz="4" w:space="0"/>
            </w:tcBorders>
            <w:vAlign w:val="center"/>
          </w:tcPr>
          <w:p w14:paraId="070B982D">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49D9199D">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4C43927D">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①基础数据信息和会计信息资料真实计0.4分；②基础数据信息和会计信息资料完整计0.3分；③基础数据信息和会计信息资料准确计0.3分。</w:t>
            </w:r>
          </w:p>
        </w:tc>
      </w:tr>
      <w:tr w14:paraId="182BE8EF">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141E2067">
            <w:pPr>
              <w:widowControl/>
              <w:jc w:val="left"/>
              <w:rPr>
                <w:rFonts w:ascii="仿宋_GB2312" w:hAnsi="宋体"/>
                <w:color w:val="000000"/>
                <w:highlight w:val="none"/>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14:paraId="10954767">
            <w:pPr>
              <w:spacing w:line="240" w:lineRule="exact"/>
              <w:jc w:val="center"/>
              <w:rPr>
                <w:rFonts w:hint="eastAsia" w:ascii="仿宋_GB2312" w:hAnsi="宋体" w:eastAsiaTheme="minorEastAsia"/>
                <w:color w:val="000000"/>
                <w:highlight w:val="none"/>
                <w:lang w:eastAsia="zh-CN"/>
              </w:rPr>
            </w:pPr>
            <w:r>
              <w:rPr>
                <w:rFonts w:hint="eastAsia" w:ascii="仿宋_GB2312" w:hAnsi="宋体"/>
                <w:color w:val="000000"/>
                <w:highlight w:val="none"/>
              </w:rPr>
              <w:t>资产</w:t>
            </w:r>
          </w:p>
          <w:p w14:paraId="68CCA4E3">
            <w:pPr>
              <w:spacing w:line="240" w:lineRule="exact"/>
              <w:jc w:val="center"/>
              <w:rPr>
                <w:rFonts w:ascii="仿宋_GB2312" w:hAnsi="宋体"/>
                <w:color w:val="000000"/>
                <w:highlight w:val="none"/>
              </w:rPr>
            </w:pPr>
            <w:r>
              <w:rPr>
                <w:rFonts w:hint="eastAsia" w:ascii="仿宋_GB2312" w:hAnsi="宋体"/>
                <w:color w:val="000000"/>
                <w:highlight w:val="none"/>
              </w:rPr>
              <w:t>管理</w:t>
            </w:r>
          </w:p>
          <w:p w14:paraId="480DD710">
            <w:pPr>
              <w:spacing w:line="240" w:lineRule="exact"/>
              <w:jc w:val="center"/>
              <w:rPr>
                <w:rFonts w:ascii="仿宋_GB2312" w:hAnsi="宋体"/>
                <w:color w:val="000000"/>
                <w:highlight w:val="none"/>
              </w:rPr>
            </w:pPr>
            <w:r>
              <w:rPr>
                <w:rFonts w:hint="eastAsia" w:ascii="仿宋_GB2312" w:hAnsi="宋体"/>
                <w:color w:val="000000"/>
                <w:highlight w:val="none"/>
              </w:rPr>
              <w:t>（</w:t>
            </w:r>
            <w:r>
              <w:rPr>
                <w:rFonts w:hint="eastAsia" w:ascii="仿宋_GB2312" w:hAnsi="宋体" w:eastAsia="仿宋_GB2312"/>
                <w:color w:val="000000"/>
                <w:highlight w:val="none"/>
              </w:rPr>
              <w:t>5</w:t>
            </w:r>
            <w:r>
              <w:rPr>
                <w:rFonts w:hint="eastAsia" w:ascii="宋体" w:hAnsi="宋体"/>
                <w:color w:val="000000"/>
                <w:highlight w:val="none"/>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57B6D235">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管理制度健全性</w:t>
            </w:r>
          </w:p>
          <w:p w14:paraId="0A368C2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（2分）</w:t>
            </w:r>
          </w:p>
        </w:tc>
        <w:tc>
          <w:tcPr>
            <w:tcW w:w="684" w:type="dxa"/>
            <w:tcBorders>
              <w:top w:val="single" w:color="auto" w:sz="4" w:space="0"/>
              <w:left w:val="nil"/>
              <w:bottom w:val="single" w:color="auto" w:sz="4" w:space="0"/>
              <w:right w:val="single" w:color="auto" w:sz="4" w:space="0"/>
            </w:tcBorders>
            <w:vAlign w:val="center"/>
          </w:tcPr>
          <w:p w14:paraId="7325958E">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17C5A4B8">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1C76DE68">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①制定或具有资产管理制度计1分；②相关资金管理制度合法、合规、完整计0.5分；③相关资产管理制度得到有效执行计0.5分。</w:t>
            </w:r>
          </w:p>
        </w:tc>
      </w:tr>
      <w:tr w14:paraId="654EABB5">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59487775">
            <w:pPr>
              <w:widowControl/>
              <w:jc w:val="left"/>
              <w:rPr>
                <w:rFonts w:ascii="仿宋_GB2312" w:hAnsi="宋体"/>
                <w:color w:val="000000"/>
                <w:highlight w:val="none"/>
              </w:rPr>
            </w:pPr>
          </w:p>
        </w:tc>
        <w:tc>
          <w:tcPr>
            <w:tcW w:w="784" w:type="dxa"/>
            <w:vMerge w:val="continue"/>
            <w:tcBorders>
              <w:top w:val="nil"/>
              <w:left w:val="nil"/>
              <w:bottom w:val="nil"/>
              <w:right w:val="single" w:color="auto" w:sz="4" w:space="0"/>
            </w:tcBorders>
            <w:vAlign w:val="center"/>
          </w:tcPr>
          <w:p w14:paraId="3C9240D2">
            <w:pPr>
              <w:widowControl/>
              <w:jc w:val="left"/>
              <w:rPr>
                <w:rFonts w:ascii="仿宋_GB2312" w:hAnsi="宋体"/>
                <w:color w:val="000000"/>
                <w:highlight w:val="none"/>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1E846EE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资产管理安全性</w:t>
            </w:r>
          </w:p>
          <w:p w14:paraId="22AD97EE">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（2分）</w:t>
            </w:r>
          </w:p>
        </w:tc>
        <w:tc>
          <w:tcPr>
            <w:tcW w:w="684" w:type="dxa"/>
            <w:tcBorders>
              <w:top w:val="single" w:color="auto" w:sz="4" w:space="0"/>
              <w:left w:val="nil"/>
              <w:bottom w:val="single" w:color="auto" w:sz="4" w:space="0"/>
              <w:right w:val="single" w:color="auto" w:sz="4" w:space="0"/>
            </w:tcBorders>
            <w:vAlign w:val="center"/>
          </w:tcPr>
          <w:p w14:paraId="56DC30A5">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7BA3E185">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B588239">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①资产保存完整计0.4分；②资产配置合理计0.4分；③资产处置规范计0.4分；④资产账务管理合规、帐实相符计0.4分；⑤资产有偿使用及处置收入及时足额上缴计0.4分。</w:t>
            </w:r>
          </w:p>
        </w:tc>
      </w:tr>
      <w:tr w14:paraId="41276FF1">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077B98E0">
            <w:pPr>
              <w:widowControl/>
              <w:jc w:val="left"/>
              <w:rPr>
                <w:rFonts w:ascii="仿宋_GB2312" w:hAnsi="宋体"/>
                <w:color w:val="000000"/>
                <w:highlight w:val="none"/>
              </w:rPr>
            </w:pPr>
          </w:p>
        </w:tc>
        <w:tc>
          <w:tcPr>
            <w:tcW w:w="784" w:type="dxa"/>
            <w:vMerge w:val="continue"/>
            <w:tcBorders>
              <w:top w:val="nil"/>
              <w:left w:val="nil"/>
              <w:bottom w:val="nil"/>
              <w:right w:val="single" w:color="auto" w:sz="4" w:space="0"/>
            </w:tcBorders>
            <w:vAlign w:val="center"/>
          </w:tcPr>
          <w:p w14:paraId="49DDE109">
            <w:pPr>
              <w:widowControl/>
              <w:jc w:val="left"/>
              <w:rPr>
                <w:rFonts w:ascii="仿宋_GB2312" w:hAnsi="宋体"/>
                <w:color w:val="000000"/>
                <w:highlight w:val="none"/>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4DB9BACD">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固定资产利用率</w:t>
            </w:r>
          </w:p>
          <w:p w14:paraId="1CF0893E">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（1分）</w:t>
            </w:r>
          </w:p>
        </w:tc>
        <w:tc>
          <w:tcPr>
            <w:tcW w:w="684" w:type="dxa"/>
            <w:tcBorders>
              <w:top w:val="single" w:color="auto" w:sz="4" w:space="0"/>
              <w:left w:val="nil"/>
              <w:bottom w:val="single" w:color="auto" w:sz="4" w:space="0"/>
              <w:right w:val="single" w:color="auto" w:sz="4" w:space="0"/>
            </w:tcBorders>
            <w:vAlign w:val="center"/>
          </w:tcPr>
          <w:p w14:paraId="383A8F0A">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2211A3FE">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14:paraId="6EAC9088">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固定资产利用率=（实际在用固定资产总额/所有固定资产总额）×100%。利用率为100%的计1分，每降1个百分点扣0.1分，扣完为止。</w:t>
            </w:r>
          </w:p>
        </w:tc>
      </w:tr>
      <w:tr w14:paraId="58F92038">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7D5ED94D">
            <w:pPr>
              <w:spacing w:line="240" w:lineRule="exact"/>
              <w:jc w:val="center"/>
              <w:rPr>
                <w:rFonts w:ascii="仿宋_GB2312" w:hAnsi="宋体"/>
                <w:color w:val="000000"/>
                <w:highlight w:val="none"/>
              </w:rPr>
            </w:pPr>
            <w:r>
              <w:rPr>
                <w:rFonts w:hint="eastAsia" w:ascii="仿宋_GB2312" w:hAnsi="宋体"/>
                <w:color w:val="000000"/>
                <w:highlight w:val="none"/>
              </w:rPr>
              <w:t>产  出（</w:t>
            </w:r>
            <w:r>
              <w:rPr>
                <w:rFonts w:hint="eastAsia" w:ascii="仿宋_GB2312" w:hAnsi="宋体" w:eastAsia="仿宋_GB2312"/>
                <w:color w:val="000000"/>
                <w:highlight w:val="none"/>
              </w:rPr>
              <w:t>30</w:t>
            </w:r>
            <w:r>
              <w:rPr>
                <w:rFonts w:hint="eastAsia" w:ascii="宋体" w:hAnsi="宋体"/>
                <w:color w:val="000000"/>
                <w:highlight w:val="none"/>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593DC849">
            <w:pPr>
              <w:spacing w:line="240" w:lineRule="exact"/>
              <w:jc w:val="center"/>
              <w:rPr>
                <w:rFonts w:hint="eastAsia" w:ascii="仿宋_GB2312" w:hAnsi="宋体" w:eastAsiaTheme="minorEastAsia"/>
                <w:color w:val="000000"/>
                <w:sz w:val="18"/>
                <w:szCs w:val="18"/>
                <w:highlight w:val="none"/>
                <w:lang w:eastAsia="zh-CN"/>
              </w:rPr>
            </w:pPr>
            <w:r>
              <w:rPr>
                <w:rFonts w:hint="eastAsia" w:ascii="仿宋_GB2312" w:hAnsi="宋体"/>
                <w:color w:val="000000"/>
                <w:sz w:val="18"/>
                <w:szCs w:val="18"/>
                <w:highlight w:val="none"/>
              </w:rPr>
              <w:t>职责</w:t>
            </w:r>
          </w:p>
          <w:p w14:paraId="2C49813A">
            <w:pPr>
              <w:spacing w:line="240" w:lineRule="exact"/>
              <w:jc w:val="center"/>
              <w:rPr>
                <w:rFonts w:ascii="仿宋_GB2312" w:hAnsi="宋体"/>
                <w:color w:val="000000"/>
                <w:sz w:val="18"/>
                <w:szCs w:val="18"/>
                <w:highlight w:val="none"/>
              </w:rPr>
            </w:pPr>
            <w:r>
              <w:rPr>
                <w:rFonts w:hint="eastAsia" w:ascii="仿宋_GB2312" w:hAnsi="宋体"/>
                <w:color w:val="000000"/>
                <w:sz w:val="18"/>
                <w:szCs w:val="18"/>
                <w:highlight w:val="none"/>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4C3D1279">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实际</w:t>
            </w:r>
          </w:p>
          <w:p w14:paraId="08B3C998">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完成率</w:t>
            </w:r>
          </w:p>
          <w:p w14:paraId="4DAA55AB">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（8分）</w:t>
            </w:r>
          </w:p>
        </w:tc>
        <w:tc>
          <w:tcPr>
            <w:tcW w:w="684" w:type="dxa"/>
            <w:tcBorders>
              <w:top w:val="single" w:color="auto" w:sz="4" w:space="0"/>
              <w:left w:val="nil"/>
              <w:bottom w:val="single" w:color="auto" w:sz="4" w:space="0"/>
              <w:right w:val="single" w:color="auto" w:sz="4" w:space="0"/>
            </w:tcBorders>
            <w:vAlign w:val="center"/>
          </w:tcPr>
          <w:p w14:paraId="46B5C59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5D05F41B">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4C6DDA25">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实际完成率得分=完成市委市政府绩效考核得分或上级主管部门考核指标得分/指标分值*8分</w:t>
            </w:r>
          </w:p>
        </w:tc>
      </w:tr>
      <w:tr w14:paraId="4C7FF929">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11567000">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5C8B3D1B">
            <w:pPr>
              <w:widowControl/>
              <w:jc w:val="left"/>
              <w:rPr>
                <w:rFonts w:ascii="仿宋_GB2312"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400EC3C3">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完成</w:t>
            </w:r>
          </w:p>
          <w:p w14:paraId="0A4FCED2">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及时率</w:t>
            </w:r>
          </w:p>
          <w:p w14:paraId="22085751">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（4分）</w:t>
            </w:r>
          </w:p>
        </w:tc>
        <w:tc>
          <w:tcPr>
            <w:tcW w:w="684" w:type="dxa"/>
            <w:tcBorders>
              <w:top w:val="single" w:color="auto" w:sz="4" w:space="0"/>
              <w:left w:val="nil"/>
              <w:bottom w:val="single" w:color="auto" w:sz="4" w:space="0"/>
              <w:right w:val="single" w:color="auto" w:sz="4" w:space="0"/>
            </w:tcBorders>
            <w:vAlign w:val="center"/>
          </w:tcPr>
          <w:p w14:paraId="53F471EB">
            <w:pPr>
              <w:spacing w:line="240" w:lineRule="exact"/>
              <w:jc w:val="center"/>
              <w:rPr>
                <w:rFonts w:hint="eastAsia" w:ascii="宋体" w:hAnsi="宋体" w:eastAsiaTheme="minorEastAsia"/>
                <w:color w:val="000000"/>
                <w:sz w:val="18"/>
                <w:szCs w:val="18"/>
                <w:highlight w:val="none"/>
                <w:lang w:eastAsia="zh-CN"/>
              </w:rPr>
            </w:pPr>
            <w:r>
              <w:rPr>
                <w:rFonts w:hint="eastAsia" w:ascii="宋体" w:hAnsi="宋体"/>
                <w:color w:val="000000"/>
                <w:sz w:val="18"/>
                <w:szCs w:val="18"/>
                <w:highlight w:val="none"/>
                <w:lang w:val="en-US" w:eastAsia="zh-CN"/>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14022E90">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4C785BC3">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完成及时率=（及时完成实际工作数/计划工作数）×100%。1-4季度各得1分</w:t>
            </w:r>
          </w:p>
        </w:tc>
      </w:tr>
      <w:tr w14:paraId="3614BD99">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1E6F88A6">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2AC90EE8">
            <w:pPr>
              <w:widowControl/>
              <w:jc w:val="left"/>
              <w:rPr>
                <w:rFonts w:ascii="仿宋_GB2312"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7FE7DF7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质量</w:t>
            </w:r>
          </w:p>
          <w:p w14:paraId="4790BB79">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达标率</w:t>
            </w:r>
          </w:p>
          <w:p w14:paraId="368767C3">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（8分）</w:t>
            </w:r>
          </w:p>
        </w:tc>
        <w:tc>
          <w:tcPr>
            <w:tcW w:w="684" w:type="dxa"/>
            <w:tcBorders>
              <w:top w:val="single" w:color="auto" w:sz="4" w:space="0"/>
              <w:left w:val="nil"/>
              <w:bottom w:val="single" w:color="auto" w:sz="4" w:space="0"/>
              <w:right w:val="single" w:color="auto" w:sz="4" w:space="0"/>
            </w:tcBorders>
            <w:vAlign w:val="center"/>
          </w:tcPr>
          <w:p w14:paraId="38F4C50C">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62E9CF3D">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2B76FA6F">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质量达标率=（质量达标实际工作数/计划工作数）×100%。实际得分=达标率*8分</w:t>
            </w:r>
          </w:p>
        </w:tc>
      </w:tr>
      <w:tr w14:paraId="157B47E7">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4092BC81">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540FDC3E">
            <w:pPr>
              <w:widowControl/>
              <w:jc w:val="left"/>
              <w:rPr>
                <w:rFonts w:ascii="仿宋_GB2312"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761FD957">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重点工作办结率</w:t>
            </w:r>
          </w:p>
          <w:p w14:paraId="7ED8C30D">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（10分）</w:t>
            </w:r>
          </w:p>
        </w:tc>
        <w:tc>
          <w:tcPr>
            <w:tcW w:w="684" w:type="dxa"/>
            <w:tcBorders>
              <w:top w:val="single" w:color="auto" w:sz="4" w:space="0"/>
              <w:left w:val="nil"/>
              <w:bottom w:val="single" w:color="auto" w:sz="4" w:space="0"/>
              <w:right w:val="single" w:color="auto" w:sz="4" w:space="0"/>
            </w:tcBorders>
            <w:vAlign w:val="center"/>
          </w:tcPr>
          <w:p w14:paraId="178C7BEA">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9</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15B9E721">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57665A46">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重点工作办结率=（重点工作实际完成数/交办或下达数）×100%。实际得分=办结率*10分</w:t>
            </w:r>
          </w:p>
        </w:tc>
      </w:tr>
      <w:tr w14:paraId="58E29759">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14:paraId="078ADAEE">
            <w:pPr>
              <w:spacing w:line="240" w:lineRule="exact"/>
              <w:jc w:val="center"/>
              <w:rPr>
                <w:rFonts w:ascii="仿宋_GB2312" w:hAnsi="宋体"/>
                <w:color w:val="000000"/>
                <w:highlight w:val="none"/>
              </w:rPr>
            </w:pPr>
            <w:r>
              <w:rPr>
                <w:rFonts w:hint="eastAsia" w:ascii="仿宋_GB2312" w:hAnsi="宋体"/>
                <w:color w:val="000000"/>
                <w:highlight w:val="none"/>
              </w:rPr>
              <w:t>效  果（</w:t>
            </w:r>
            <w:r>
              <w:rPr>
                <w:rFonts w:hint="eastAsia" w:ascii="仿宋_GB2312" w:hAnsi="宋体" w:eastAsia="仿宋_GB2312"/>
                <w:color w:val="000000"/>
                <w:highlight w:val="none"/>
              </w:rPr>
              <w:t>20</w:t>
            </w:r>
            <w:r>
              <w:rPr>
                <w:rFonts w:hint="eastAsia" w:ascii="宋体" w:hAnsi="宋体"/>
                <w:color w:val="000000"/>
                <w:highlight w:val="none"/>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6831DEDB">
            <w:pPr>
              <w:spacing w:line="240" w:lineRule="exact"/>
              <w:jc w:val="center"/>
              <w:rPr>
                <w:rFonts w:hint="eastAsia" w:ascii="仿宋_GB2312" w:hAnsi="宋体" w:eastAsiaTheme="minorEastAsia"/>
                <w:color w:val="000000"/>
                <w:sz w:val="18"/>
                <w:szCs w:val="18"/>
                <w:highlight w:val="none"/>
                <w:lang w:eastAsia="zh-CN"/>
              </w:rPr>
            </w:pPr>
            <w:r>
              <w:rPr>
                <w:rFonts w:hint="eastAsia" w:ascii="仿宋_GB2312" w:hAnsi="宋体"/>
                <w:color w:val="000000"/>
                <w:sz w:val="18"/>
                <w:szCs w:val="18"/>
                <w:highlight w:val="none"/>
              </w:rPr>
              <w:t>履职</w:t>
            </w:r>
          </w:p>
          <w:p w14:paraId="15A8EFD3">
            <w:pPr>
              <w:spacing w:line="240" w:lineRule="exact"/>
              <w:jc w:val="center"/>
              <w:rPr>
                <w:rFonts w:ascii="仿宋_GB2312" w:hAnsi="宋体"/>
                <w:color w:val="000000"/>
                <w:sz w:val="18"/>
                <w:szCs w:val="18"/>
                <w:highlight w:val="none"/>
              </w:rPr>
            </w:pPr>
            <w:r>
              <w:rPr>
                <w:rFonts w:hint="eastAsia" w:ascii="仿宋_GB2312" w:hAnsi="宋体"/>
                <w:color w:val="000000"/>
                <w:sz w:val="18"/>
                <w:szCs w:val="18"/>
                <w:highlight w:val="none"/>
              </w:rPr>
              <w:t>效益</w:t>
            </w:r>
          </w:p>
          <w:p w14:paraId="0E2E7584">
            <w:pPr>
              <w:spacing w:line="240" w:lineRule="exact"/>
              <w:jc w:val="center"/>
              <w:rPr>
                <w:rFonts w:ascii="仿宋_GB2312" w:hAnsi="宋体"/>
                <w:color w:val="000000"/>
                <w:sz w:val="18"/>
                <w:szCs w:val="18"/>
                <w:highlight w:val="none"/>
              </w:rPr>
            </w:pPr>
            <w:r>
              <w:rPr>
                <w:rFonts w:hint="eastAsia" w:ascii="仿宋_GB2312" w:hAnsi="宋体"/>
                <w:color w:val="000000"/>
                <w:sz w:val="18"/>
                <w:szCs w:val="18"/>
                <w:highlight w:val="none"/>
              </w:rPr>
              <w:t>（</w:t>
            </w:r>
            <w:r>
              <w:rPr>
                <w:rFonts w:hint="eastAsia" w:ascii="仿宋_GB2312" w:hAnsi="宋体" w:eastAsia="仿宋_GB2312"/>
                <w:color w:val="000000"/>
                <w:sz w:val="18"/>
                <w:szCs w:val="18"/>
                <w:highlight w:val="none"/>
              </w:rPr>
              <w:t>20</w:t>
            </w:r>
            <w:r>
              <w:rPr>
                <w:rFonts w:hint="eastAsia" w:ascii="宋体" w:hAnsi="宋体"/>
                <w:color w:val="000000"/>
                <w:sz w:val="18"/>
                <w:szCs w:val="18"/>
                <w:highlight w:val="none"/>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32E2C945">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经济效益</w:t>
            </w:r>
          </w:p>
          <w:p w14:paraId="76599163">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（5分）</w:t>
            </w:r>
          </w:p>
        </w:tc>
        <w:tc>
          <w:tcPr>
            <w:tcW w:w="684" w:type="dxa"/>
            <w:tcBorders>
              <w:top w:val="single" w:color="auto" w:sz="4" w:space="0"/>
              <w:left w:val="nil"/>
              <w:bottom w:val="single" w:color="auto" w:sz="4" w:space="0"/>
              <w:right w:val="single" w:color="auto" w:sz="4" w:space="0"/>
            </w:tcBorders>
            <w:vAlign w:val="center"/>
          </w:tcPr>
          <w:p w14:paraId="27895AB0">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637600E9">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14:paraId="453C8787">
            <w:pPr>
              <w:autoSpaceDE w:val="0"/>
              <w:spacing w:line="240" w:lineRule="exact"/>
              <w:ind w:left="42" w:leftChars="20"/>
              <w:rPr>
                <w:rFonts w:ascii="宋体" w:hAnsi="宋体"/>
                <w:color w:val="000000"/>
                <w:sz w:val="18"/>
                <w:szCs w:val="18"/>
                <w:highlight w:val="none"/>
              </w:rPr>
            </w:pPr>
            <w:r>
              <w:rPr>
                <w:rFonts w:hint="eastAsia" w:ascii="宋体" w:hAnsi="宋体"/>
                <w:color w:val="000000"/>
                <w:kern w:val="0"/>
                <w:sz w:val="18"/>
                <w:szCs w:val="18"/>
                <w:highlight w:val="none"/>
              </w:rPr>
              <w:t>按经济效益实现程度计算得分（5分）；按社会效益实现程度计算得分（5分）；按生态效益实现程度计算得分（5分）</w:t>
            </w:r>
          </w:p>
        </w:tc>
      </w:tr>
      <w:tr w14:paraId="25D59734">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71BC2D10">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61943D82">
            <w:pPr>
              <w:widowControl/>
              <w:jc w:val="left"/>
              <w:rPr>
                <w:rFonts w:ascii="仿宋_GB2312"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553BFBD2">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社会效益</w:t>
            </w:r>
          </w:p>
          <w:p w14:paraId="55E9ED92">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（5分）</w:t>
            </w:r>
          </w:p>
        </w:tc>
        <w:tc>
          <w:tcPr>
            <w:tcW w:w="684" w:type="dxa"/>
            <w:tcBorders>
              <w:top w:val="single" w:color="auto" w:sz="4" w:space="0"/>
              <w:left w:val="nil"/>
              <w:bottom w:val="single" w:color="auto" w:sz="4" w:space="0"/>
              <w:right w:val="single" w:color="auto" w:sz="4" w:space="0"/>
            </w:tcBorders>
            <w:vAlign w:val="center"/>
          </w:tcPr>
          <w:p w14:paraId="6037442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4E95633D">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14:paraId="1574456A">
            <w:pPr>
              <w:widowControl/>
              <w:jc w:val="left"/>
              <w:rPr>
                <w:rFonts w:ascii="宋体" w:hAnsi="宋体"/>
                <w:color w:val="000000"/>
                <w:sz w:val="18"/>
                <w:szCs w:val="18"/>
                <w:highlight w:val="none"/>
              </w:rPr>
            </w:pPr>
          </w:p>
        </w:tc>
      </w:tr>
      <w:tr w14:paraId="10DEEB41">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7536E538">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2EA6A69A">
            <w:pPr>
              <w:widowControl/>
              <w:jc w:val="left"/>
              <w:rPr>
                <w:rFonts w:ascii="仿宋_GB2312"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26D08554">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生态效益</w:t>
            </w:r>
          </w:p>
          <w:p w14:paraId="4F57FC6D">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（5分）</w:t>
            </w:r>
          </w:p>
        </w:tc>
        <w:tc>
          <w:tcPr>
            <w:tcW w:w="684" w:type="dxa"/>
            <w:tcBorders>
              <w:top w:val="single" w:color="auto" w:sz="4" w:space="0"/>
              <w:left w:val="nil"/>
              <w:bottom w:val="single" w:color="auto" w:sz="4" w:space="0"/>
              <w:right w:val="single" w:color="auto" w:sz="4" w:space="0"/>
            </w:tcBorders>
            <w:vAlign w:val="center"/>
          </w:tcPr>
          <w:p w14:paraId="78C6E1DC">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6171B137">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14:paraId="37617A92">
            <w:pPr>
              <w:widowControl/>
              <w:jc w:val="left"/>
              <w:rPr>
                <w:rFonts w:ascii="宋体" w:hAnsi="宋体"/>
                <w:color w:val="000000"/>
                <w:sz w:val="18"/>
                <w:szCs w:val="18"/>
                <w:highlight w:val="none"/>
              </w:rPr>
            </w:pPr>
          </w:p>
        </w:tc>
      </w:tr>
      <w:tr w14:paraId="3427A0B9">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14:paraId="78106C1A">
            <w:pPr>
              <w:widowControl/>
              <w:jc w:val="left"/>
              <w:rPr>
                <w:rFonts w:ascii="仿宋_GB2312" w:hAnsi="宋体"/>
                <w:color w:val="000000"/>
                <w:highlight w:val="none"/>
              </w:rPr>
            </w:pPr>
          </w:p>
        </w:tc>
        <w:tc>
          <w:tcPr>
            <w:tcW w:w="784" w:type="dxa"/>
            <w:vMerge w:val="continue"/>
            <w:tcBorders>
              <w:top w:val="nil"/>
              <w:left w:val="nil"/>
              <w:bottom w:val="single" w:color="auto" w:sz="4" w:space="0"/>
              <w:right w:val="single" w:color="auto" w:sz="4" w:space="0"/>
            </w:tcBorders>
            <w:vAlign w:val="center"/>
          </w:tcPr>
          <w:p w14:paraId="32603EC1">
            <w:pPr>
              <w:widowControl/>
              <w:jc w:val="left"/>
              <w:rPr>
                <w:rFonts w:ascii="仿宋_GB2312" w:hAnsi="宋体"/>
                <w:color w:val="000000"/>
                <w:sz w:val="18"/>
                <w:szCs w:val="18"/>
                <w:highlight w:val="none"/>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14:paraId="3BE8113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14:paraId="61246246">
            <w:pPr>
              <w:spacing w:line="240" w:lineRule="exact"/>
              <w:jc w:val="center"/>
              <w:rPr>
                <w:rFonts w:ascii="宋体" w:hAnsi="宋体"/>
                <w:color w:val="000000"/>
                <w:sz w:val="18"/>
                <w:szCs w:val="18"/>
                <w:highlight w:val="none"/>
              </w:rPr>
            </w:pPr>
            <w:r>
              <w:rPr>
                <w:rFonts w:hint="eastAsia" w:ascii="宋体" w:hAnsi="宋体"/>
                <w:color w:val="000000"/>
                <w:sz w:val="18"/>
                <w:szCs w:val="18"/>
                <w:highlight w:val="none"/>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14:paraId="56F734CF">
            <w:pPr>
              <w:autoSpaceDE w:val="0"/>
              <w:spacing w:line="240" w:lineRule="exact"/>
              <w:ind w:left="42" w:leftChars="20"/>
              <w:rPr>
                <w:rFonts w:ascii="宋体" w:hAnsi="宋体"/>
                <w:color w:val="000000"/>
                <w:sz w:val="18"/>
                <w:szCs w:val="18"/>
                <w:highlight w:val="none"/>
              </w:rPr>
            </w:pPr>
            <w:r>
              <w:rPr>
                <w:rFonts w:hint="eastAsia" w:ascii="宋体" w:hAnsi="宋体"/>
                <w:color w:val="000000"/>
                <w:sz w:val="18"/>
                <w:szCs w:val="18"/>
                <w:highlight w:val="none"/>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14:paraId="7D26F392">
            <w:pPr>
              <w:autoSpaceDE w:val="0"/>
              <w:spacing w:line="240" w:lineRule="exact"/>
              <w:ind w:left="42" w:leftChars="20"/>
              <w:rPr>
                <w:rFonts w:ascii="宋体" w:hAnsi="宋体"/>
                <w:color w:val="000000"/>
                <w:sz w:val="18"/>
                <w:szCs w:val="18"/>
                <w:highlight w:val="none"/>
              </w:rPr>
            </w:pPr>
            <w:r>
              <w:rPr>
                <w:rFonts w:hint="eastAsia" w:ascii="宋体" w:hAnsi="宋体"/>
                <w:color w:val="000000"/>
                <w:kern w:val="0"/>
                <w:sz w:val="18"/>
                <w:szCs w:val="18"/>
                <w:highlight w:val="none"/>
              </w:rPr>
              <w:t>按收集到的服务对象的满意率计算得分（5分）</w:t>
            </w:r>
          </w:p>
        </w:tc>
      </w:tr>
    </w:tbl>
    <w:p w14:paraId="0DCAE44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B70763"/>
    <w:rsid w:val="24B70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300" w:lineRule="auto"/>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2025-03-19T01:44:00Z</dcterms:created>
  <dc:creator>WPS_1618293264</dc:creator>
  <cp:lastModifiedBy>WPS_1618293264</cp:lastModifiedBy>
  <dcterms:modified xsi:type="dcterms:W3CDTF">2025-03-19T01:45:37Z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452D9ACD2DAD485AB5F513A67EED1174_11</vt:lpwstr>
  </property>
  <property fmtid="{D5CDD505-2E9C-101B-9397-08002B2CF9AE}" pid="4" name="KSOTemplateDocerSaveRecord">
    <vt:lpwstr>eyJoZGlkIjoiYjU4OTJiNWMyZjk1MDZjMjhkYmIwNGE0ZWI1ZDUyZDAiLCJ1c2VySWQiOiIxMjAwMDI0MDk3In0=</vt:lpwstr>
  </property>
</Properties>
</file>