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6828A">
      <w:pPr>
        <w:jc w:val="center"/>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20</w:t>
      </w:r>
      <w:r>
        <w:rPr>
          <w:rFonts w:hint="eastAsia" w:ascii="方正小标宋简体" w:hAnsi="方正小标宋简体" w:eastAsia="方正小标宋简体" w:cs="方正小标宋简体"/>
          <w:bCs/>
          <w:color w:val="auto"/>
          <w:sz w:val="36"/>
          <w:szCs w:val="36"/>
          <w:lang w:val="en-US" w:eastAsia="zh-CN"/>
        </w:rPr>
        <w:t>24</w:t>
      </w:r>
      <w:r>
        <w:rPr>
          <w:rFonts w:hint="eastAsia" w:ascii="方正小标宋简体" w:hAnsi="方正小标宋简体" w:eastAsia="方正小标宋简体" w:cs="方正小标宋简体"/>
          <w:bCs/>
          <w:color w:val="auto"/>
          <w:sz w:val="36"/>
          <w:szCs w:val="36"/>
        </w:rPr>
        <w:t>年部门整体支出绩效自评指标计分表</w:t>
      </w:r>
    </w:p>
    <w:p w14:paraId="589E3FFD">
      <w:pPr>
        <w:spacing w:line="300" w:lineRule="exact"/>
        <w:rPr>
          <w:rFonts w:hint="eastAsia" w:ascii="黑体" w:hAnsi="Times New Roman" w:eastAsia="黑体" w:cs="Times New Roman"/>
          <w:color w:val="auto"/>
          <w:szCs w:val="32"/>
        </w:rPr>
      </w:pPr>
    </w:p>
    <w:tbl>
      <w:tblPr>
        <w:tblStyle w:val="2"/>
        <w:tblW w:w="10077" w:type="dxa"/>
        <w:jc w:val="center"/>
        <w:tblLayout w:type="fixed"/>
        <w:tblCellMar>
          <w:top w:w="0" w:type="dxa"/>
          <w:left w:w="0" w:type="dxa"/>
          <w:bottom w:w="0" w:type="dxa"/>
          <w:right w:w="0" w:type="dxa"/>
        </w:tblCellMar>
      </w:tblPr>
      <w:tblGrid>
        <w:gridCol w:w="828"/>
        <w:gridCol w:w="784"/>
        <w:gridCol w:w="848"/>
        <w:gridCol w:w="687"/>
        <w:gridCol w:w="2544"/>
        <w:gridCol w:w="4386"/>
      </w:tblGrid>
      <w:tr w14:paraId="47CB6928">
        <w:tblPrEx>
          <w:tblCellMar>
            <w:top w:w="0" w:type="dxa"/>
            <w:left w:w="0" w:type="dxa"/>
            <w:bottom w:w="0" w:type="dxa"/>
            <w:right w:w="0" w:type="dxa"/>
          </w:tblCellMar>
        </w:tblPrEx>
        <w:trPr>
          <w:trHeight w:val="644"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AE7B37F">
            <w:pPr>
              <w:spacing w:line="240" w:lineRule="exact"/>
              <w:jc w:val="center"/>
              <w:rPr>
                <w:rFonts w:hint="eastAsia" w:ascii="黑体" w:hAnsi="黑体" w:eastAsia="黑体" w:cs="黑体"/>
                <w:bCs/>
                <w:color w:val="auto"/>
                <w:szCs w:val="21"/>
              </w:rPr>
            </w:pPr>
            <w:r>
              <w:rPr>
                <w:rFonts w:hint="eastAsia" w:ascii="黑体" w:hAnsi="黑体" w:eastAsia="黑体" w:cs="黑体"/>
                <w:bCs/>
                <w:color w:val="auto"/>
                <w:szCs w:val="21"/>
              </w:rPr>
              <w:t>一级</w:t>
            </w:r>
            <w:r>
              <w:rPr>
                <w:rFonts w:hint="eastAsia" w:ascii="黑体" w:hAnsi="黑体" w:eastAsia="黑体" w:cs="黑体"/>
                <w:bCs/>
                <w:color w:val="auto"/>
                <w:szCs w:val="21"/>
              </w:rPr>
              <w:br w:type="textWrapping"/>
            </w:r>
            <w:r>
              <w:rPr>
                <w:rFonts w:hint="eastAsia" w:ascii="黑体" w:hAnsi="黑体" w:eastAsia="黑体" w:cs="黑体"/>
                <w:bCs/>
                <w:color w:val="auto"/>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AAB1114">
            <w:pPr>
              <w:spacing w:line="240" w:lineRule="exact"/>
              <w:jc w:val="center"/>
              <w:rPr>
                <w:rFonts w:hint="eastAsia" w:ascii="黑体" w:hAnsi="黑体" w:eastAsia="黑体" w:cs="黑体"/>
                <w:bCs/>
                <w:color w:val="auto"/>
                <w:szCs w:val="21"/>
              </w:rPr>
            </w:pPr>
            <w:r>
              <w:rPr>
                <w:rFonts w:hint="eastAsia" w:ascii="黑体" w:hAnsi="黑体" w:eastAsia="黑体" w:cs="黑体"/>
                <w:bCs/>
                <w:color w:val="auto"/>
                <w:szCs w:val="21"/>
              </w:rPr>
              <w:t>二级</w:t>
            </w:r>
          </w:p>
          <w:p w14:paraId="4CA89F36">
            <w:pPr>
              <w:spacing w:line="240" w:lineRule="exact"/>
              <w:jc w:val="center"/>
              <w:rPr>
                <w:rFonts w:hint="eastAsia" w:ascii="黑体" w:hAnsi="黑体" w:eastAsia="黑体" w:cs="黑体"/>
                <w:bCs/>
                <w:color w:val="auto"/>
                <w:szCs w:val="21"/>
              </w:rPr>
            </w:pPr>
            <w:r>
              <w:rPr>
                <w:rFonts w:hint="eastAsia" w:ascii="黑体" w:hAnsi="黑体" w:eastAsia="黑体" w:cs="黑体"/>
                <w:bCs/>
                <w:color w:val="auto"/>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57630DF">
            <w:pPr>
              <w:spacing w:line="240" w:lineRule="exact"/>
              <w:jc w:val="center"/>
              <w:rPr>
                <w:rFonts w:hint="eastAsia" w:ascii="黑体" w:hAnsi="黑体" w:eastAsia="黑体" w:cs="黑体"/>
                <w:bCs/>
                <w:color w:val="auto"/>
                <w:szCs w:val="21"/>
              </w:rPr>
            </w:pPr>
            <w:r>
              <w:rPr>
                <w:rFonts w:hint="eastAsia" w:ascii="黑体" w:hAnsi="黑体" w:eastAsia="黑体" w:cs="黑体"/>
                <w:bCs/>
                <w:color w:val="auto"/>
                <w:szCs w:val="21"/>
              </w:rPr>
              <w:t>三级  指标</w:t>
            </w:r>
          </w:p>
        </w:tc>
        <w:tc>
          <w:tcPr>
            <w:tcW w:w="687" w:type="dxa"/>
            <w:tcBorders>
              <w:top w:val="single" w:color="auto" w:sz="4" w:space="0"/>
              <w:left w:val="nil"/>
              <w:bottom w:val="single" w:color="auto" w:sz="4" w:space="0"/>
              <w:right w:val="single" w:color="auto" w:sz="4" w:space="0"/>
            </w:tcBorders>
            <w:noWrap w:val="0"/>
            <w:vAlign w:val="center"/>
          </w:tcPr>
          <w:p w14:paraId="296FD919">
            <w:pPr>
              <w:spacing w:line="240" w:lineRule="exact"/>
              <w:jc w:val="center"/>
              <w:rPr>
                <w:rFonts w:hint="eastAsia" w:ascii="黑体" w:hAnsi="黑体" w:eastAsia="黑体" w:cs="黑体"/>
                <w:bCs/>
                <w:color w:val="auto"/>
                <w:szCs w:val="21"/>
              </w:rPr>
            </w:pPr>
            <w:r>
              <w:rPr>
                <w:rFonts w:hint="eastAsia" w:ascii="黑体" w:hAnsi="黑体" w:eastAsia="黑体" w:cs="黑体"/>
                <w:bCs/>
                <w:color w:val="auto"/>
                <w:szCs w:val="21"/>
              </w:rPr>
              <w:t>自评分</w:t>
            </w:r>
          </w:p>
        </w:tc>
        <w:tc>
          <w:tcPr>
            <w:tcW w:w="2544"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B1485D9">
            <w:pPr>
              <w:spacing w:line="240" w:lineRule="exact"/>
              <w:jc w:val="center"/>
              <w:rPr>
                <w:rFonts w:hint="eastAsia" w:ascii="黑体" w:hAnsi="黑体" w:eastAsia="黑体" w:cs="黑体"/>
                <w:bCs/>
                <w:color w:val="auto"/>
                <w:szCs w:val="21"/>
              </w:rPr>
            </w:pPr>
            <w:r>
              <w:rPr>
                <w:rFonts w:hint="eastAsia" w:ascii="黑体" w:hAnsi="黑体" w:eastAsia="黑体" w:cs="黑体"/>
                <w:bCs/>
                <w:color w:val="auto"/>
                <w:szCs w:val="21"/>
              </w:rPr>
              <w:t>指标解释</w:t>
            </w:r>
          </w:p>
        </w:tc>
        <w:tc>
          <w:tcPr>
            <w:tcW w:w="4386"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B631E95">
            <w:pPr>
              <w:spacing w:line="240" w:lineRule="exact"/>
              <w:jc w:val="center"/>
              <w:rPr>
                <w:rFonts w:hint="eastAsia" w:ascii="黑体" w:hAnsi="黑体" w:eastAsia="黑体" w:cs="黑体"/>
                <w:bCs/>
                <w:color w:val="auto"/>
                <w:szCs w:val="21"/>
              </w:rPr>
            </w:pPr>
            <w:r>
              <w:rPr>
                <w:rFonts w:hint="eastAsia" w:ascii="黑体" w:hAnsi="黑体" w:eastAsia="黑体" w:cs="黑体"/>
                <w:bCs/>
                <w:color w:val="auto"/>
                <w:szCs w:val="21"/>
              </w:rPr>
              <w:t>指标说明</w:t>
            </w:r>
          </w:p>
        </w:tc>
      </w:tr>
      <w:tr w14:paraId="45BB5333">
        <w:tblPrEx>
          <w:tblCellMar>
            <w:top w:w="0" w:type="dxa"/>
            <w:left w:w="0" w:type="dxa"/>
            <w:bottom w:w="0" w:type="dxa"/>
            <w:right w:w="0" w:type="dxa"/>
          </w:tblCellMar>
        </w:tblPrEx>
        <w:trPr>
          <w:trHeight w:val="1343"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C56EC44">
            <w:pPr>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投入</w:t>
            </w:r>
          </w:p>
          <w:p w14:paraId="08ED074B">
            <w:pPr>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DEF5408">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目标</w:t>
            </w:r>
            <w:r>
              <w:rPr>
                <w:rFonts w:hint="eastAsia" w:ascii="方正仿宋简体" w:hAnsi="方正仿宋简体" w:eastAsia="方正仿宋简体" w:cs="方正仿宋简体"/>
                <w:color w:val="auto"/>
                <w:sz w:val="18"/>
                <w:szCs w:val="18"/>
              </w:rPr>
              <w:br w:type="textWrapping"/>
            </w:r>
            <w:r>
              <w:rPr>
                <w:rFonts w:hint="eastAsia" w:ascii="方正仿宋简体" w:hAnsi="方正仿宋简体" w:eastAsia="方正仿宋简体" w:cs="方正仿宋简体"/>
                <w:color w:val="auto"/>
                <w:sz w:val="18"/>
                <w:szCs w:val="18"/>
              </w:rPr>
              <w:t>设定</w:t>
            </w:r>
          </w:p>
          <w:p w14:paraId="3E82FE92">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67EF291">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绩效目标合理性</w:t>
            </w:r>
          </w:p>
          <w:p w14:paraId="5AD04297">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（2分）</w:t>
            </w:r>
          </w:p>
        </w:tc>
        <w:tc>
          <w:tcPr>
            <w:tcW w:w="687" w:type="dxa"/>
            <w:tcBorders>
              <w:top w:val="single" w:color="auto" w:sz="4" w:space="0"/>
              <w:left w:val="nil"/>
              <w:bottom w:val="single" w:color="auto" w:sz="4" w:space="0"/>
              <w:right w:val="single" w:color="auto" w:sz="4" w:space="0"/>
            </w:tcBorders>
            <w:noWrap w:val="0"/>
            <w:vAlign w:val="center"/>
          </w:tcPr>
          <w:p w14:paraId="769844E2">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2</w:t>
            </w:r>
          </w:p>
        </w:tc>
        <w:tc>
          <w:tcPr>
            <w:tcW w:w="2544"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322A2F4">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部门所设立的整体绩效目标依据是否充分，是否符合客观实际，用以反映和考核部门整体绩效目标与部门履职、年度工作任务的相符性情况。</w:t>
            </w:r>
          </w:p>
        </w:tc>
        <w:tc>
          <w:tcPr>
            <w:tcW w:w="4386"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5F56449">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①符合国家法律法规、国民经济和社会发展总体规划计1分；②符合部门“三定”方案确定的职责计0.5分；③是否符合部门制定的中长期实施规划计0.5分。</w:t>
            </w:r>
          </w:p>
        </w:tc>
      </w:tr>
      <w:tr w14:paraId="5320FB7E">
        <w:tblPrEx>
          <w:tblCellMar>
            <w:top w:w="0" w:type="dxa"/>
            <w:left w:w="0" w:type="dxa"/>
            <w:bottom w:w="0" w:type="dxa"/>
            <w:right w:w="0" w:type="dxa"/>
          </w:tblCellMar>
        </w:tblPrEx>
        <w:trPr>
          <w:trHeight w:val="9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BA81C45">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D55C32D">
            <w:pPr>
              <w:spacing w:line="240" w:lineRule="exact"/>
              <w:jc w:val="center"/>
              <w:rPr>
                <w:rFonts w:hint="eastAsia" w:ascii="方正仿宋简体" w:hAnsi="方正仿宋简体" w:eastAsia="方正仿宋简体" w:cs="方正仿宋简体"/>
                <w:color w:val="auto"/>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985EA06">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绩效指标明确性</w:t>
            </w:r>
          </w:p>
          <w:p w14:paraId="7851A0E4">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（3分）</w:t>
            </w:r>
          </w:p>
        </w:tc>
        <w:tc>
          <w:tcPr>
            <w:tcW w:w="687" w:type="dxa"/>
            <w:tcBorders>
              <w:top w:val="single" w:color="auto" w:sz="4" w:space="0"/>
              <w:left w:val="nil"/>
              <w:bottom w:val="single" w:color="auto" w:sz="4" w:space="0"/>
              <w:right w:val="single" w:color="auto" w:sz="4" w:space="0"/>
            </w:tcBorders>
            <w:noWrap w:val="0"/>
            <w:vAlign w:val="center"/>
          </w:tcPr>
          <w:p w14:paraId="6A1D7E4D">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3</w:t>
            </w:r>
          </w:p>
        </w:tc>
        <w:tc>
          <w:tcPr>
            <w:tcW w:w="2544"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CED820C">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部门依据整体绩效目标所设定的绩效指标是否清晰、细化、可衡量，用以反映和考核部门整体绩效目标的明细化情况。</w:t>
            </w:r>
          </w:p>
        </w:tc>
        <w:tc>
          <w:tcPr>
            <w:tcW w:w="4386"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5CC0090">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2152D961">
        <w:tblPrEx>
          <w:tblCellMar>
            <w:top w:w="0" w:type="dxa"/>
            <w:left w:w="0" w:type="dxa"/>
            <w:bottom w:w="0" w:type="dxa"/>
            <w:right w:w="0" w:type="dxa"/>
          </w:tblCellMar>
        </w:tblPrEx>
        <w:trPr>
          <w:trHeight w:val="110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B1E4A9C">
            <w:pPr>
              <w:spacing w:line="240" w:lineRule="exact"/>
              <w:jc w:val="center"/>
              <w:rPr>
                <w:rFonts w:hint="eastAsia" w:ascii="方正仿宋简体" w:hAnsi="方正仿宋简体" w:eastAsia="方正仿宋简体" w:cs="方正仿宋简体"/>
                <w:color w:val="auto"/>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97F8561">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预算</w:t>
            </w:r>
            <w:r>
              <w:rPr>
                <w:rFonts w:hint="eastAsia" w:ascii="方正仿宋简体" w:hAnsi="方正仿宋简体" w:eastAsia="方正仿宋简体" w:cs="方正仿宋简体"/>
                <w:color w:val="auto"/>
                <w:sz w:val="18"/>
                <w:szCs w:val="18"/>
              </w:rPr>
              <w:br w:type="textWrapping"/>
            </w:r>
            <w:r>
              <w:rPr>
                <w:rFonts w:hint="eastAsia" w:ascii="方正仿宋简体" w:hAnsi="方正仿宋简体" w:eastAsia="方正仿宋简体" w:cs="方正仿宋简体"/>
                <w:color w:val="auto"/>
                <w:sz w:val="18"/>
                <w:szCs w:val="18"/>
              </w:rPr>
              <w:t>配置</w:t>
            </w:r>
          </w:p>
          <w:p w14:paraId="675FCEA3">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465450E">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在职人员控制率</w:t>
            </w:r>
          </w:p>
          <w:p w14:paraId="3AA34086">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（5分）</w:t>
            </w:r>
          </w:p>
        </w:tc>
        <w:tc>
          <w:tcPr>
            <w:tcW w:w="687" w:type="dxa"/>
            <w:tcBorders>
              <w:top w:val="single" w:color="auto" w:sz="4" w:space="0"/>
              <w:left w:val="nil"/>
              <w:bottom w:val="single" w:color="auto" w:sz="4" w:space="0"/>
              <w:right w:val="single" w:color="auto" w:sz="4" w:space="0"/>
            </w:tcBorders>
            <w:noWrap w:val="0"/>
            <w:vAlign w:val="center"/>
          </w:tcPr>
          <w:p w14:paraId="074C7AA5">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5</w:t>
            </w:r>
          </w:p>
        </w:tc>
        <w:tc>
          <w:tcPr>
            <w:tcW w:w="2544"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8480C91">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部门本年度实际在职人员数与编制数的比率，用以反映和考核部门对人员成本的控制程度。</w:t>
            </w:r>
          </w:p>
        </w:tc>
        <w:tc>
          <w:tcPr>
            <w:tcW w:w="4386"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00DB700">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6D100504">
        <w:tblPrEx>
          <w:tblCellMar>
            <w:top w:w="0" w:type="dxa"/>
            <w:left w:w="0" w:type="dxa"/>
            <w:bottom w:w="0" w:type="dxa"/>
            <w:right w:w="0" w:type="dxa"/>
          </w:tblCellMar>
        </w:tblPrEx>
        <w:trPr>
          <w:trHeight w:val="1202"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23AEBDA">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D88FEDB">
            <w:pPr>
              <w:spacing w:line="240" w:lineRule="exact"/>
              <w:jc w:val="center"/>
              <w:rPr>
                <w:rFonts w:hint="eastAsia" w:ascii="方正仿宋简体" w:hAnsi="方正仿宋简体" w:eastAsia="方正仿宋简体" w:cs="方正仿宋简体"/>
                <w:color w:val="auto"/>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E8850BD">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“三公</w:t>
            </w:r>
          </w:p>
          <w:p w14:paraId="715C1998">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经费”</w:t>
            </w:r>
          </w:p>
          <w:p w14:paraId="195950E9">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变动率</w:t>
            </w:r>
          </w:p>
          <w:p w14:paraId="1513BAFD">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（5分）</w:t>
            </w:r>
          </w:p>
        </w:tc>
        <w:tc>
          <w:tcPr>
            <w:tcW w:w="687" w:type="dxa"/>
            <w:tcBorders>
              <w:top w:val="single" w:color="auto" w:sz="4" w:space="0"/>
              <w:left w:val="nil"/>
              <w:bottom w:val="single" w:color="auto" w:sz="4" w:space="0"/>
              <w:right w:val="single" w:color="auto" w:sz="4" w:space="0"/>
            </w:tcBorders>
            <w:noWrap w:val="0"/>
            <w:vAlign w:val="center"/>
          </w:tcPr>
          <w:p w14:paraId="17263939">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5</w:t>
            </w:r>
          </w:p>
        </w:tc>
        <w:tc>
          <w:tcPr>
            <w:tcW w:w="2544"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388DD18">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pacing w:val="-6"/>
                <w:sz w:val="18"/>
                <w:szCs w:val="18"/>
              </w:rPr>
              <w:t>部门本年度“三公经费”预算数与上年度“三公经费”预算数的变动比率，用以反映和考核部门对控制重点行政成本的努力程度</w:t>
            </w:r>
            <w:r>
              <w:rPr>
                <w:rFonts w:hint="eastAsia" w:ascii="方正仿宋简体" w:hAnsi="方正仿宋简体" w:eastAsia="方正仿宋简体" w:cs="方正仿宋简体"/>
                <w:color w:val="auto"/>
                <w:sz w:val="18"/>
                <w:szCs w:val="18"/>
              </w:rPr>
              <w:t>。</w:t>
            </w:r>
          </w:p>
        </w:tc>
        <w:tc>
          <w:tcPr>
            <w:tcW w:w="4386"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E752572">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40F8D1F8">
        <w:tblPrEx>
          <w:tblCellMar>
            <w:top w:w="0" w:type="dxa"/>
            <w:left w:w="0" w:type="dxa"/>
            <w:bottom w:w="0" w:type="dxa"/>
            <w:right w:w="0" w:type="dxa"/>
          </w:tblCellMar>
        </w:tblPrEx>
        <w:trPr>
          <w:trHeight w:val="147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F06FCC7">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8915228">
            <w:pPr>
              <w:spacing w:line="240" w:lineRule="exact"/>
              <w:jc w:val="center"/>
              <w:rPr>
                <w:rFonts w:hint="eastAsia" w:ascii="方正仿宋简体" w:hAnsi="方正仿宋简体" w:eastAsia="方正仿宋简体" w:cs="方正仿宋简体"/>
                <w:color w:val="auto"/>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BE46C06">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重点支出安排率</w:t>
            </w:r>
          </w:p>
          <w:p w14:paraId="4286B592">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（5分）</w:t>
            </w:r>
          </w:p>
        </w:tc>
        <w:tc>
          <w:tcPr>
            <w:tcW w:w="687" w:type="dxa"/>
            <w:tcBorders>
              <w:top w:val="single" w:color="auto" w:sz="4" w:space="0"/>
              <w:left w:val="nil"/>
              <w:bottom w:val="single" w:color="auto" w:sz="4" w:space="0"/>
              <w:right w:val="single" w:color="auto" w:sz="4" w:space="0"/>
            </w:tcBorders>
            <w:noWrap w:val="0"/>
            <w:vAlign w:val="center"/>
          </w:tcPr>
          <w:p w14:paraId="1D05875C">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5</w:t>
            </w:r>
          </w:p>
        </w:tc>
        <w:tc>
          <w:tcPr>
            <w:tcW w:w="2544"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637F8E1">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部门本年度预算安排的重点项目支出与部门项目总支出的比率，用以反映和考核部门对履行主要职责或完成重点任务的保障程度。</w:t>
            </w:r>
          </w:p>
        </w:tc>
        <w:tc>
          <w:tcPr>
            <w:tcW w:w="4386"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021B5A1">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4CC3C93C">
        <w:tblPrEx>
          <w:tblCellMar>
            <w:top w:w="0" w:type="dxa"/>
            <w:left w:w="0" w:type="dxa"/>
            <w:bottom w:w="0" w:type="dxa"/>
            <w:right w:w="0" w:type="dxa"/>
          </w:tblCellMar>
        </w:tblPrEx>
        <w:trPr>
          <w:trHeight w:val="1054"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1B45634">
            <w:pPr>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过程</w:t>
            </w:r>
          </w:p>
          <w:p w14:paraId="27911F82">
            <w:pPr>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DDFF3BE">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预算</w:t>
            </w:r>
            <w:r>
              <w:rPr>
                <w:rFonts w:hint="eastAsia" w:ascii="方正仿宋简体" w:hAnsi="方正仿宋简体" w:eastAsia="方正仿宋简体" w:cs="方正仿宋简体"/>
                <w:color w:val="auto"/>
                <w:sz w:val="18"/>
                <w:szCs w:val="18"/>
              </w:rPr>
              <w:br w:type="textWrapping"/>
            </w:r>
            <w:r>
              <w:rPr>
                <w:rFonts w:hint="eastAsia" w:ascii="方正仿宋简体" w:hAnsi="方正仿宋简体" w:eastAsia="方正仿宋简体" w:cs="方正仿宋简体"/>
                <w:color w:val="auto"/>
                <w:sz w:val="18"/>
                <w:szCs w:val="18"/>
              </w:rPr>
              <w:t>执行</w:t>
            </w:r>
          </w:p>
          <w:p w14:paraId="0EC6461F">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AA07D64">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预算</w:t>
            </w:r>
          </w:p>
          <w:p w14:paraId="41D2D901">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完成率</w:t>
            </w:r>
          </w:p>
          <w:p w14:paraId="3CB8C643">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（4分）</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101BDDBE">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4</w:t>
            </w:r>
          </w:p>
        </w:tc>
        <w:tc>
          <w:tcPr>
            <w:tcW w:w="2544"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FF75F91">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部门本年度预算完成数与预算数的比率，用以反映和考核部门预算完成程度。</w:t>
            </w:r>
          </w:p>
        </w:tc>
        <w:tc>
          <w:tcPr>
            <w:tcW w:w="4386"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2335A58">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预算完成率=（预算完成数/预算数）×100%。完成年初预算计4分，未完成年初预算按比例扣减，预算完成数：部门本年度实际完成的预算数。预算数：财政部门批复的本年度部门预算数。</w:t>
            </w:r>
          </w:p>
        </w:tc>
      </w:tr>
      <w:tr w14:paraId="4A8D9B4D">
        <w:tblPrEx>
          <w:tblCellMar>
            <w:top w:w="0" w:type="dxa"/>
            <w:left w:w="0" w:type="dxa"/>
            <w:bottom w:w="0" w:type="dxa"/>
            <w:right w:w="0" w:type="dxa"/>
          </w:tblCellMar>
        </w:tblPrEx>
        <w:trPr>
          <w:trHeight w:val="1332"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41055084">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0A72398A">
            <w:pPr>
              <w:spacing w:line="240" w:lineRule="exact"/>
              <w:jc w:val="center"/>
              <w:rPr>
                <w:rFonts w:hint="eastAsia" w:ascii="方正仿宋简体" w:hAnsi="方正仿宋简体" w:eastAsia="方正仿宋简体" w:cs="方正仿宋简体"/>
                <w:color w:val="auto"/>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7C7CDC8">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预算</w:t>
            </w:r>
          </w:p>
          <w:p w14:paraId="3707D5F3">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调整率</w:t>
            </w:r>
          </w:p>
          <w:p w14:paraId="61E5F77E">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（2分）</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3C452258">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2</w:t>
            </w:r>
          </w:p>
        </w:tc>
        <w:tc>
          <w:tcPr>
            <w:tcW w:w="2544"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E1E6D00">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部门本年度预算调整数与预算数的比率，用以反映和考核部门预算的调整程度。</w:t>
            </w:r>
          </w:p>
        </w:tc>
        <w:tc>
          <w:tcPr>
            <w:tcW w:w="4386"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AA7C8C9">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4989ED79">
        <w:tblPrEx>
          <w:tblCellMar>
            <w:top w:w="0" w:type="dxa"/>
            <w:left w:w="0" w:type="dxa"/>
            <w:bottom w:w="0" w:type="dxa"/>
            <w:right w:w="0" w:type="dxa"/>
          </w:tblCellMar>
        </w:tblPrEx>
        <w:trPr>
          <w:trHeight w:val="165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2E8370DF">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1503A017">
            <w:pPr>
              <w:spacing w:line="240" w:lineRule="exact"/>
              <w:jc w:val="center"/>
              <w:rPr>
                <w:rFonts w:hint="eastAsia" w:ascii="方正仿宋简体" w:hAnsi="方正仿宋简体" w:eastAsia="方正仿宋简体" w:cs="方正仿宋简体"/>
                <w:color w:val="auto"/>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D6A6A78">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支付</w:t>
            </w:r>
          </w:p>
          <w:p w14:paraId="0D371C2A">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进度率</w:t>
            </w:r>
          </w:p>
          <w:p w14:paraId="6818A594">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（2分）</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3E90092">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2</w:t>
            </w:r>
          </w:p>
        </w:tc>
        <w:tc>
          <w:tcPr>
            <w:tcW w:w="2544"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B850737">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部门实际支付进度与既定支付进度的比率，用以反映和考核部门预算执行的及时性和均衡性程度。</w:t>
            </w:r>
          </w:p>
        </w:tc>
        <w:tc>
          <w:tcPr>
            <w:tcW w:w="4386"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F9F31B5">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7F15807F">
        <w:tblPrEx>
          <w:tblCellMar>
            <w:top w:w="0" w:type="dxa"/>
            <w:left w:w="0" w:type="dxa"/>
            <w:bottom w:w="0" w:type="dxa"/>
            <w:right w:w="0" w:type="dxa"/>
          </w:tblCellMar>
        </w:tblPrEx>
        <w:trPr>
          <w:trHeight w:val="1077"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2157F715">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20749125">
            <w:pPr>
              <w:spacing w:line="240" w:lineRule="exact"/>
              <w:jc w:val="center"/>
              <w:rPr>
                <w:rFonts w:hint="eastAsia" w:ascii="方正仿宋简体" w:hAnsi="方正仿宋简体" w:eastAsia="方正仿宋简体" w:cs="方正仿宋简体"/>
                <w:color w:val="auto"/>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0C7C9E7">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结转结余控制率</w:t>
            </w:r>
          </w:p>
          <w:p w14:paraId="14C79F94">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（4分）</w:t>
            </w:r>
          </w:p>
        </w:tc>
        <w:tc>
          <w:tcPr>
            <w:tcW w:w="687" w:type="dxa"/>
            <w:tcBorders>
              <w:top w:val="single" w:color="auto" w:sz="4" w:space="0"/>
              <w:left w:val="nil"/>
              <w:bottom w:val="single" w:color="auto" w:sz="4" w:space="0"/>
              <w:right w:val="single" w:color="auto" w:sz="4" w:space="0"/>
            </w:tcBorders>
            <w:noWrap w:val="0"/>
            <w:vAlign w:val="center"/>
          </w:tcPr>
          <w:p w14:paraId="5916800C">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3</w:t>
            </w:r>
          </w:p>
        </w:tc>
        <w:tc>
          <w:tcPr>
            <w:tcW w:w="2544"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A8EECF4">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部门本年度结转结余总额与上年结转结余总额增减比例，用以反映和考核部门对存量资金的实际控制程度。</w:t>
            </w:r>
          </w:p>
        </w:tc>
        <w:tc>
          <w:tcPr>
            <w:tcW w:w="4386"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CD78673">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00AE3C3F">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78F04596">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left w:val="single" w:color="auto" w:sz="4" w:space="0"/>
              <w:right w:val="single" w:color="auto" w:sz="4" w:space="0"/>
            </w:tcBorders>
            <w:noWrap w:val="0"/>
            <w:vAlign w:val="center"/>
          </w:tcPr>
          <w:p w14:paraId="3C6ED09C">
            <w:pPr>
              <w:spacing w:line="240" w:lineRule="exact"/>
              <w:jc w:val="center"/>
              <w:rPr>
                <w:rFonts w:hint="eastAsia" w:ascii="方正仿宋简体" w:hAnsi="方正仿宋简体" w:eastAsia="方正仿宋简体" w:cs="方正仿宋简体"/>
                <w:color w:val="auto"/>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C8E9A2B">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公用经费控制率</w:t>
            </w:r>
          </w:p>
          <w:p w14:paraId="6FFCBC8C">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（2分）</w:t>
            </w:r>
          </w:p>
        </w:tc>
        <w:tc>
          <w:tcPr>
            <w:tcW w:w="687" w:type="dxa"/>
            <w:tcBorders>
              <w:top w:val="single" w:color="auto" w:sz="4" w:space="0"/>
              <w:left w:val="nil"/>
              <w:bottom w:val="single" w:color="auto" w:sz="4" w:space="0"/>
              <w:right w:val="single" w:color="auto" w:sz="4" w:space="0"/>
            </w:tcBorders>
            <w:noWrap w:val="0"/>
            <w:vAlign w:val="center"/>
          </w:tcPr>
          <w:p w14:paraId="0A863A4A">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2</w:t>
            </w:r>
          </w:p>
        </w:tc>
        <w:tc>
          <w:tcPr>
            <w:tcW w:w="2544"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689123F">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部门本年度实际支出的公用经费总额与预算安排的公用经费总额的比率，用以反映和考核部门对机构运转成本的实际控制程度。</w:t>
            </w:r>
          </w:p>
        </w:tc>
        <w:tc>
          <w:tcPr>
            <w:tcW w:w="4386"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1FF8A13">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公用经费控制率=（实际支出公用经费总额/预算安排公用经费总额）×100%。为100%的计2分，每超过1个百分点扣0.1分，扣完为止。</w:t>
            </w:r>
          </w:p>
        </w:tc>
      </w:tr>
      <w:tr w14:paraId="5A279B20">
        <w:tblPrEx>
          <w:tblCellMar>
            <w:top w:w="0" w:type="dxa"/>
            <w:left w:w="0" w:type="dxa"/>
            <w:bottom w:w="0" w:type="dxa"/>
            <w:right w:w="0" w:type="dxa"/>
          </w:tblCellMar>
        </w:tblPrEx>
        <w:trPr>
          <w:trHeight w:val="90" w:hRule="atLeast"/>
          <w:jc w:val="center"/>
        </w:trPr>
        <w:tc>
          <w:tcPr>
            <w:tcW w:w="828" w:type="dxa"/>
            <w:vMerge w:val="continue"/>
            <w:tcBorders>
              <w:left w:val="single" w:color="auto" w:sz="4" w:space="0"/>
              <w:right w:val="single" w:color="auto" w:sz="4" w:space="0"/>
            </w:tcBorders>
            <w:noWrap w:val="0"/>
            <w:vAlign w:val="center"/>
          </w:tcPr>
          <w:p w14:paraId="50D7C895">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left w:val="single" w:color="auto" w:sz="4" w:space="0"/>
              <w:right w:val="single" w:color="auto" w:sz="4" w:space="0"/>
            </w:tcBorders>
            <w:noWrap w:val="0"/>
            <w:vAlign w:val="center"/>
          </w:tcPr>
          <w:p w14:paraId="5C098C0F">
            <w:pPr>
              <w:spacing w:line="240" w:lineRule="exact"/>
              <w:jc w:val="center"/>
              <w:rPr>
                <w:rFonts w:hint="eastAsia" w:ascii="方正仿宋简体" w:hAnsi="方正仿宋简体" w:eastAsia="方正仿宋简体" w:cs="方正仿宋简体"/>
                <w:color w:val="auto"/>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E39EE52">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“三公经费”控制率（2分）</w:t>
            </w:r>
          </w:p>
        </w:tc>
        <w:tc>
          <w:tcPr>
            <w:tcW w:w="687" w:type="dxa"/>
            <w:tcBorders>
              <w:top w:val="single" w:color="auto" w:sz="4" w:space="0"/>
              <w:left w:val="nil"/>
              <w:bottom w:val="single" w:color="auto" w:sz="4" w:space="0"/>
              <w:right w:val="single" w:color="auto" w:sz="4" w:space="0"/>
            </w:tcBorders>
            <w:noWrap w:val="0"/>
            <w:vAlign w:val="center"/>
          </w:tcPr>
          <w:p w14:paraId="3695092B">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2</w:t>
            </w:r>
          </w:p>
        </w:tc>
        <w:tc>
          <w:tcPr>
            <w:tcW w:w="2544"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C8B9E67">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部门本年度“三公经费”实际支出数与预算安排数的比率，用以反映和考核部门对“三公经费”的实际控制程度。</w:t>
            </w:r>
          </w:p>
        </w:tc>
        <w:tc>
          <w:tcPr>
            <w:tcW w:w="4386"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98B4F83">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“三公经费”控制率=（“三公经费”实际支出数/“三公经费”预算安排数）×100%。为100%的计2分，每超过1个百分点扣0.5分，扣完为止。</w:t>
            </w:r>
          </w:p>
        </w:tc>
      </w:tr>
      <w:tr w14:paraId="44E9466A">
        <w:tblPrEx>
          <w:tblCellMar>
            <w:top w:w="0" w:type="dxa"/>
            <w:left w:w="0" w:type="dxa"/>
            <w:bottom w:w="0" w:type="dxa"/>
            <w:right w:w="0" w:type="dxa"/>
          </w:tblCellMar>
        </w:tblPrEx>
        <w:trPr>
          <w:trHeight w:val="1195" w:hRule="atLeast"/>
          <w:jc w:val="center"/>
        </w:trPr>
        <w:tc>
          <w:tcPr>
            <w:tcW w:w="828" w:type="dxa"/>
            <w:vMerge w:val="continue"/>
            <w:tcBorders>
              <w:left w:val="single" w:color="auto" w:sz="4" w:space="0"/>
              <w:right w:val="single" w:color="auto" w:sz="4" w:space="0"/>
            </w:tcBorders>
            <w:noWrap w:val="0"/>
            <w:vAlign w:val="center"/>
          </w:tcPr>
          <w:p w14:paraId="45F56860">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40568B23">
            <w:pPr>
              <w:spacing w:line="240" w:lineRule="exact"/>
              <w:jc w:val="center"/>
              <w:rPr>
                <w:rFonts w:hint="eastAsia" w:ascii="方正仿宋简体" w:hAnsi="方正仿宋简体" w:eastAsia="方正仿宋简体" w:cs="方正仿宋简体"/>
                <w:color w:val="auto"/>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B61FF98">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政府采购执行率</w:t>
            </w:r>
          </w:p>
          <w:p w14:paraId="5FED0276">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（4分）</w:t>
            </w:r>
          </w:p>
        </w:tc>
        <w:tc>
          <w:tcPr>
            <w:tcW w:w="687" w:type="dxa"/>
            <w:tcBorders>
              <w:top w:val="single" w:color="auto" w:sz="4" w:space="0"/>
              <w:left w:val="nil"/>
              <w:bottom w:val="single" w:color="auto" w:sz="4" w:space="0"/>
              <w:right w:val="single" w:color="auto" w:sz="4" w:space="0"/>
            </w:tcBorders>
            <w:noWrap w:val="0"/>
            <w:vAlign w:val="center"/>
          </w:tcPr>
          <w:p w14:paraId="38C2E119">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4</w:t>
            </w:r>
          </w:p>
        </w:tc>
        <w:tc>
          <w:tcPr>
            <w:tcW w:w="2544"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B1D7EA9">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部门本年度实际政府采购金额与年初政府采购预算的比率，用以反映和考核部门政府采购预算执行情况。</w:t>
            </w:r>
          </w:p>
        </w:tc>
        <w:tc>
          <w:tcPr>
            <w:tcW w:w="4386"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A9FBAC5">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70716BC9">
        <w:tblPrEx>
          <w:tblCellMar>
            <w:top w:w="0" w:type="dxa"/>
            <w:left w:w="0" w:type="dxa"/>
            <w:bottom w:w="0" w:type="dxa"/>
            <w:right w:w="0" w:type="dxa"/>
          </w:tblCellMar>
        </w:tblPrEx>
        <w:trPr>
          <w:trHeight w:val="1250" w:hRule="atLeast"/>
          <w:jc w:val="center"/>
        </w:trPr>
        <w:tc>
          <w:tcPr>
            <w:tcW w:w="828" w:type="dxa"/>
            <w:vMerge w:val="continue"/>
            <w:tcBorders>
              <w:left w:val="single" w:color="auto" w:sz="4" w:space="0"/>
              <w:right w:val="single" w:color="auto" w:sz="4" w:space="0"/>
            </w:tcBorders>
            <w:noWrap w:val="0"/>
            <w:vAlign w:val="center"/>
          </w:tcPr>
          <w:p w14:paraId="4B64F659">
            <w:pPr>
              <w:spacing w:line="240" w:lineRule="exact"/>
              <w:jc w:val="center"/>
              <w:rPr>
                <w:rFonts w:hint="eastAsia" w:ascii="方正仿宋简体" w:hAnsi="方正仿宋简体" w:eastAsia="方正仿宋简体" w:cs="方正仿宋简体"/>
                <w:color w:val="auto"/>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362CB7A">
            <w:pPr>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预算</w:t>
            </w:r>
          </w:p>
          <w:p w14:paraId="391B769A">
            <w:pPr>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管理</w:t>
            </w:r>
          </w:p>
          <w:p w14:paraId="6AC8D526">
            <w:pPr>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E617465">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管理制度健全性</w:t>
            </w:r>
          </w:p>
          <w:p w14:paraId="533AB4C5">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（2分）</w:t>
            </w:r>
          </w:p>
        </w:tc>
        <w:tc>
          <w:tcPr>
            <w:tcW w:w="687" w:type="dxa"/>
            <w:tcBorders>
              <w:top w:val="single" w:color="auto" w:sz="4" w:space="0"/>
              <w:left w:val="nil"/>
              <w:bottom w:val="single" w:color="auto" w:sz="4" w:space="0"/>
              <w:right w:val="single" w:color="auto" w:sz="4" w:space="0"/>
            </w:tcBorders>
            <w:noWrap w:val="0"/>
            <w:vAlign w:val="center"/>
          </w:tcPr>
          <w:p w14:paraId="49767C0A">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2</w:t>
            </w:r>
          </w:p>
        </w:tc>
        <w:tc>
          <w:tcPr>
            <w:tcW w:w="2544"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4A00889">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部门为加强预算管理、规范财务行为而制定的管理制度是否健全完整，用以反映和考核部门预算管理制度对完成主要职责或促进事业发展的保障情况。</w:t>
            </w:r>
          </w:p>
        </w:tc>
        <w:tc>
          <w:tcPr>
            <w:tcW w:w="4386"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D81B89D">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已制定或具有预算资金管理办法、内部财务管理制度、会计核算制度等管理制度计1分；相关管理制度合法、合规、完整计0.5分；相关管理制度得到有效执行计0.5分。</w:t>
            </w:r>
          </w:p>
        </w:tc>
      </w:tr>
      <w:tr w14:paraId="6F3A9D7F">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4773695D">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2C397F7">
            <w:pPr>
              <w:spacing w:line="240" w:lineRule="exact"/>
              <w:jc w:val="center"/>
              <w:rPr>
                <w:rFonts w:hint="eastAsia" w:ascii="方正仿宋简体" w:hAnsi="方正仿宋简体" w:eastAsia="方正仿宋简体" w:cs="方正仿宋简体"/>
                <w:color w:val="auto"/>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1300C44">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资金使用合规性</w:t>
            </w:r>
          </w:p>
          <w:p w14:paraId="70B55B5C">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（1分）</w:t>
            </w:r>
          </w:p>
        </w:tc>
        <w:tc>
          <w:tcPr>
            <w:tcW w:w="687" w:type="dxa"/>
            <w:tcBorders>
              <w:top w:val="single" w:color="auto" w:sz="4" w:space="0"/>
              <w:left w:val="nil"/>
              <w:bottom w:val="single" w:color="auto" w:sz="4" w:space="0"/>
              <w:right w:val="single" w:color="auto" w:sz="4" w:space="0"/>
            </w:tcBorders>
            <w:noWrap w:val="0"/>
            <w:vAlign w:val="center"/>
          </w:tcPr>
          <w:p w14:paraId="24F02AF3">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w:t>
            </w:r>
          </w:p>
        </w:tc>
        <w:tc>
          <w:tcPr>
            <w:tcW w:w="2544"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3FE2FD0">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部门使用预算资金是否符合相关的预算财务管理制度的规定，用以反映和考核部门预算资金的规范运行情况。</w:t>
            </w:r>
          </w:p>
        </w:tc>
        <w:tc>
          <w:tcPr>
            <w:tcW w:w="4386"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4003532">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52A4886E">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0462FBB8">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EA7A462">
            <w:pPr>
              <w:spacing w:line="240" w:lineRule="exact"/>
              <w:jc w:val="center"/>
              <w:rPr>
                <w:rFonts w:hint="eastAsia" w:ascii="方正仿宋简体" w:hAnsi="方正仿宋简体" w:eastAsia="方正仿宋简体" w:cs="方正仿宋简体"/>
                <w:color w:val="auto"/>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3D78F94">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预决算信息公开性</w:t>
            </w:r>
          </w:p>
          <w:p w14:paraId="3D50EED0">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（1分）</w:t>
            </w:r>
          </w:p>
        </w:tc>
        <w:tc>
          <w:tcPr>
            <w:tcW w:w="687" w:type="dxa"/>
            <w:tcBorders>
              <w:top w:val="single" w:color="auto" w:sz="4" w:space="0"/>
              <w:left w:val="nil"/>
              <w:bottom w:val="single" w:color="auto" w:sz="4" w:space="0"/>
              <w:right w:val="single" w:color="auto" w:sz="4" w:space="0"/>
            </w:tcBorders>
            <w:noWrap w:val="0"/>
            <w:vAlign w:val="center"/>
          </w:tcPr>
          <w:p w14:paraId="2BE77FF9">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w:t>
            </w:r>
          </w:p>
        </w:tc>
        <w:tc>
          <w:tcPr>
            <w:tcW w:w="2544"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7CC8963">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部门是否按照政府信息公开有关规定公开相关预决算信息，用以反映和考核部门预决算管理的公开透明情况。</w:t>
            </w:r>
          </w:p>
        </w:tc>
        <w:tc>
          <w:tcPr>
            <w:tcW w:w="4386"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4746864">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①按规定内容公开预决算信息计0.5分；②按规定时限公开预决算信息计0.5分。预决算信息是指与部门预算、执行、决算、监督、绩效等管理相关的信息。</w:t>
            </w:r>
          </w:p>
        </w:tc>
      </w:tr>
      <w:tr w14:paraId="3ED6F124">
        <w:tblPrEx>
          <w:tblCellMar>
            <w:top w:w="0" w:type="dxa"/>
            <w:left w:w="0" w:type="dxa"/>
            <w:bottom w:w="0" w:type="dxa"/>
            <w:right w:w="0" w:type="dxa"/>
          </w:tblCellMar>
        </w:tblPrEx>
        <w:trPr>
          <w:trHeight w:val="782" w:hRule="atLeast"/>
          <w:jc w:val="center"/>
        </w:trPr>
        <w:tc>
          <w:tcPr>
            <w:tcW w:w="828" w:type="dxa"/>
            <w:vMerge w:val="continue"/>
            <w:tcBorders>
              <w:left w:val="single" w:color="auto" w:sz="4" w:space="0"/>
              <w:right w:val="single" w:color="auto" w:sz="4" w:space="0"/>
            </w:tcBorders>
            <w:noWrap w:val="0"/>
            <w:vAlign w:val="center"/>
          </w:tcPr>
          <w:p w14:paraId="6E141053">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ECE284E">
            <w:pPr>
              <w:spacing w:line="240" w:lineRule="exact"/>
              <w:jc w:val="center"/>
              <w:rPr>
                <w:rFonts w:hint="eastAsia" w:ascii="方正仿宋简体" w:hAnsi="方正仿宋简体" w:eastAsia="方正仿宋简体" w:cs="方正仿宋简体"/>
                <w:color w:val="auto"/>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EF07099">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基础信息完善性</w:t>
            </w:r>
          </w:p>
          <w:p w14:paraId="6FDE3A05">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（1分）</w:t>
            </w:r>
          </w:p>
        </w:tc>
        <w:tc>
          <w:tcPr>
            <w:tcW w:w="687" w:type="dxa"/>
            <w:tcBorders>
              <w:top w:val="single" w:color="auto" w:sz="4" w:space="0"/>
              <w:left w:val="nil"/>
              <w:bottom w:val="single" w:color="auto" w:sz="4" w:space="0"/>
              <w:right w:val="single" w:color="auto" w:sz="4" w:space="0"/>
            </w:tcBorders>
            <w:noWrap w:val="0"/>
            <w:vAlign w:val="center"/>
          </w:tcPr>
          <w:p w14:paraId="3FC5E4AA">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w:t>
            </w:r>
          </w:p>
        </w:tc>
        <w:tc>
          <w:tcPr>
            <w:tcW w:w="2544"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86986F9">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部门基础信息是否完善，用以反映和考核基础信息对预算管理工作的支撑情况。</w:t>
            </w:r>
          </w:p>
        </w:tc>
        <w:tc>
          <w:tcPr>
            <w:tcW w:w="4386"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6F19602">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①基础数据信息和会计信息资料真实计0.4分；②基础数据信息和会计信息资料完整计0.3分；③基础数据信息和会计信息资料准确计0.3分。</w:t>
            </w:r>
          </w:p>
        </w:tc>
      </w:tr>
      <w:tr w14:paraId="5B9FC715">
        <w:tblPrEx>
          <w:tblCellMar>
            <w:top w:w="0" w:type="dxa"/>
            <w:left w:w="0" w:type="dxa"/>
            <w:bottom w:w="0" w:type="dxa"/>
            <w:right w:w="0" w:type="dxa"/>
          </w:tblCellMar>
        </w:tblPrEx>
        <w:trPr>
          <w:trHeight w:val="1225"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6B2074FF">
            <w:pPr>
              <w:spacing w:line="240" w:lineRule="exact"/>
              <w:jc w:val="center"/>
              <w:rPr>
                <w:rFonts w:hint="eastAsia" w:ascii="方正仿宋简体" w:hAnsi="方正仿宋简体" w:eastAsia="方正仿宋简体" w:cs="方正仿宋简体"/>
                <w:color w:val="auto"/>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3D715820">
            <w:pPr>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资产</w:t>
            </w:r>
            <w:r>
              <w:rPr>
                <w:rFonts w:hint="eastAsia" w:ascii="方正仿宋简体" w:hAnsi="方正仿宋简体" w:eastAsia="方正仿宋简体" w:cs="方正仿宋简体"/>
                <w:color w:val="auto"/>
                <w:szCs w:val="21"/>
              </w:rPr>
              <w:br w:type="textWrapping"/>
            </w:r>
            <w:r>
              <w:rPr>
                <w:rFonts w:hint="eastAsia" w:ascii="方正仿宋简体" w:hAnsi="方正仿宋简体" w:eastAsia="方正仿宋简体" w:cs="方正仿宋简体"/>
                <w:color w:val="auto"/>
                <w:szCs w:val="21"/>
              </w:rPr>
              <w:t>管理</w:t>
            </w:r>
          </w:p>
          <w:p w14:paraId="7E2F1D58">
            <w:pPr>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955DFC3">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管理制度健全性</w:t>
            </w:r>
          </w:p>
          <w:p w14:paraId="66E17A97">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（2分）</w:t>
            </w:r>
          </w:p>
        </w:tc>
        <w:tc>
          <w:tcPr>
            <w:tcW w:w="687" w:type="dxa"/>
            <w:tcBorders>
              <w:top w:val="single" w:color="auto" w:sz="4" w:space="0"/>
              <w:left w:val="nil"/>
              <w:bottom w:val="single" w:color="auto" w:sz="4" w:space="0"/>
              <w:right w:val="single" w:color="auto" w:sz="4" w:space="0"/>
            </w:tcBorders>
            <w:noWrap w:val="0"/>
            <w:vAlign w:val="center"/>
          </w:tcPr>
          <w:p w14:paraId="04B8757F">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2</w:t>
            </w:r>
          </w:p>
        </w:tc>
        <w:tc>
          <w:tcPr>
            <w:tcW w:w="2544"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1ED6512">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部门为加强资产管理、规范资产管理行为而制定的管理制度是否健全完整，用以反映和考核部门资产管理制度对完成主要职责或促进社会发展的保障情况。</w:t>
            </w:r>
          </w:p>
        </w:tc>
        <w:tc>
          <w:tcPr>
            <w:tcW w:w="4386"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9D368E3">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①制定或具有资产管理制度计1分；②相关资金管理制度合法、合规、完整计0.5分；③相关资产管理制度得到有效执行计0.5分。</w:t>
            </w:r>
          </w:p>
        </w:tc>
      </w:tr>
      <w:tr w14:paraId="2CFA59B2">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6CC369D6">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left w:val="single" w:color="auto" w:sz="4" w:space="0"/>
              <w:right w:val="single" w:color="auto" w:sz="4" w:space="0"/>
            </w:tcBorders>
            <w:noWrap w:val="0"/>
            <w:vAlign w:val="center"/>
          </w:tcPr>
          <w:p w14:paraId="605A2DE3">
            <w:pPr>
              <w:spacing w:line="240" w:lineRule="exact"/>
              <w:jc w:val="center"/>
              <w:rPr>
                <w:rFonts w:hint="eastAsia" w:ascii="方正仿宋简体" w:hAnsi="方正仿宋简体" w:eastAsia="方正仿宋简体" w:cs="方正仿宋简体"/>
                <w:color w:val="auto"/>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51BD7C3">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资产管理安全性</w:t>
            </w:r>
          </w:p>
          <w:p w14:paraId="450268DD">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（2分）</w:t>
            </w:r>
          </w:p>
        </w:tc>
        <w:tc>
          <w:tcPr>
            <w:tcW w:w="687" w:type="dxa"/>
            <w:tcBorders>
              <w:top w:val="single" w:color="auto" w:sz="4" w:space="0"/>
              <w:left w:val="nil"/>
              <w:bottom w:val="single" w:color="auto" w:sz="4" w:space="0"/>
              <w:right w:val="single" w:color="auto" w:sz="4" w:space="0"/>
            </w:tcBorders>
            <w:noWrap w:val="0"/>
            <w:vAlign w:val="center"/>
          </w:tcPr>
          <w:p w14:paraId="1F760472">
            <w:pPr>
              <w:tabs>
                <w:tab w:val="left" w:pos="761"/>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2</w:t>
            </w:r>
          </w:p>
        </w:tc>
        <w:tc>
          <w:tcPr>
            <w:tcW w:w="2544"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FCA9037">
            <w:pPr>
              <w:keepNext w:val="0"/>
              <w:keepLines w:val="0"/>
              <w:pageBreakBefore w:val="0"/>
              <w:widowControl w:val="0"/>
              <w:tabs>
                <w:tab w:val="left" w:pos="761"/>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部门的资产是否保存完整、使用合规、配置合理、处置规范、收入及时足额上缴，用以反映和考核部门资产安全运行情况。</w:t>
            </w:r>
          </w:p>
        </w:tc>
        <w:tc>
          <w:tcPr>
            <w:tcW w:w="4386"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CB3FBE3">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①资产保存完整计0.4分；②资产配置合理计0.4分；③资产处置规范计0.4分；④资产账务管理合规、帐实相符计0.4分；⑤资产有偿使用及处置收入及时足额上缴计0.4分。</w:t>
            </w:r>
          </w:p>
        </w:tc>
      </w:tr>
      <w:tr w14:paraId="54299F9D">
        <w:tblPrEx>
          <w:tblCellMar>
            <w:top w:w="0" w:type="dxa"/>
            <w:left w:w="0" w:type="dxa"/>
            <w:bottom w:w="0" w:type="dxa"/>
            <w:right w:w="0" w:type="dxa"/>
          </w:tblCellMar>
        </w:tblPrEx>
        <w:trPr>
          <w:trHeight w:val="1041"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0615D565">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7626E802">
            <w:pPr>
              <w:spacing w:line="240" w:lineRule="exact"/>
              <w:jc w:val="center"/>
              <w:rPr>
                <w:rFonts w:hint="eastAsia" w:ascii="方正仿宋简体" w:hAnsi="方正仿宋简体" w:eastAsia="方正仿宋简体" w:cs="方正仿宋简体"/>
                <w:color w:val="auto"/>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B696993">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固定资产利用率</w:t>
            </w:r>
          </w:p>
          <w:p w14:paraId="248B01BB">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（1分）</w:t>
            </w:r>
          </w:p>
        </w:tc>
        <w:tc>
          <w:tcPr>
            <w:tcW w:w="687" w:type="dxa"/>
            <w:tcBorders>
              <w:top w:val="single" w:color="auto" w:sz="4" w:space="0"/>
              <w:left w:val="nil"/>
              <w:bottom w:val="single" w:color="auto" w:sz="4" w:space="0"/>
              <w:right w:val="single" w:color="auto" w:sz="4" w:space="0"/>
            </w:tcBorders>
            <w:noWrap w:val="0"/>
            <w:vAlign w:val="center"/>
          </w:tcPr>
          <w:p w14:paraId="7B894908">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w:t>
            </w:r>
          </w:p>
        </w:tc>
        <w:tc>
          <w:tcPr>
            <w:tcW w:w="2544"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B8E15EF">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部门实际在用固定资产总额与所有固定资产总额的比率，用以反映和考核部门固定资产使用效率程度。</w:t>
            </w:r>
          </w:p>
        </w:tc>
        <w:tc>
          <w:tcPr>
            <w:tcW w:w="4386"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964B85C">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固定资产利用率=（实际在用固定资产总额/所有固定资产总额）×100%。利用率为100%的计1分，每降1个百分点扣0.1分，扣完为止。</w:t>
            </w:r>
          </w:p>
        </w:tc>
      </w:tr>
      <w:tr w14:paraId="6677DF58">
        <w:tblPrEx>
          <w:tblCellMar>
            <w:top w:w="0" w:type="dxa"/>
            <w:left w:w="0" w:type="dxa"/>
            <w:bottom w:w="0" w:type="dxa"/>
            <w:right w:w="0" w:type="dxa"/>
          </w:tblCellMar>
        </w:tblPrEx>
        <w:trPr>
          <w:trHeight w:val="1059"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7DA7D84">
            <w:pPr>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产出</w:t>
            </w:r>
          </w:p>
          <w:p w14:paraId="43A3ACDC">
            <w:pPr>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79238A9">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职责</w:t>
            </w:r>
            <w:r>
              <w:rPr>
                <w:rFonts w:hint="eastAsia" w:ascii="方正仿宋简体" w:hAnsi="方正仿宋简体" w:eastAsia="方正仿宋简体" w:cs="方正仿宋简体"/>
                <w:color w:val="auto"/>
                <w:sz w:val="18"/>
                <w:szCs w:val="18"/>
              </w:rPr>
              <w:br w:type="textWrapping"/>
            </w:r>
            <w:r>
              <w:rPr>
                <w:rFonts w:hint="eastAsia" w:ascii="方正仿宋简体" w:hAnsi="方正仿宋简体" w:eastAsia="方正仿宋简体" w:cs="方正仿宋简体"/>
                <w:color w:val="auto"/>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7BBA6E1">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实际</w:t>
            </w:r>
          </w:p>
          <w:p w14:paraId="1EAA0F1C">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完成率</w:t>
            </w:r>
          </w:p>
          <w:p w14:paraId="7275DBC3">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（8分）</w:t>
            </w:r>
          </w:p>
        </w:tc>
        <w:tc>
          <w:tcPr>
            <w:tcW w:w="687" w:type="dxa"/>
            <w:tcBorders>
              <w:top w:val="single" w:color="auto" w:sz="4" w:space="0"/>
              <w:left w:val="nil"/>
              <w:bottom w:val="single" w:color="auto" w:sz="4" w:space="0"/>
              <w:right w:val="single" w:color="auto" w:sz="4" w:space="0"/>
            </w:tcBorders>
            <w:noWrap w:val="0"/>
            <w:vAlign w:val="center"/>
          </w:tcPr>
          <w:p w14:paraId="05727162">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8</w:t>
            </w:r>
          </w:p>
        </w:tc>
        <w:tc>
          <w:tcPr>
            <w:tcW w:w="2544"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10F2439">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部门履行职责而实际完成工作数与计划工作数的比率，用以反映和考核部门履职工作任务目标的实现程度。</w:t>
            </w:r>
          </w:p>
        </w:tc>
        <w:tc>
          <w:tcPr>
            <w:tcW w:w="4386"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E249296">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实际完成率得分=完成市委市政府绩效考核得分或上级主管部门考核指标得分/指标分值*8分</w:t>
            </w:r>
          </w:p>
        </w:tc>
      </w:tr>
      <w:tr w14:paraId="1667B58B">
        <w:tblPrEx>
          <w:tblCellMar>
            <w:top w:w="0" w:type="dxa"/>
            <w:left w:w="0" w:type="dxa"/>
            <w:bottom w:w="0" w:type="dxa"/>
            <w:right w:w="0" w:type="dxa"/>
          </w:tblCellMar>
        </w:tblPrEx>
        <w:trPr>
          <w:trHeight w:val="10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05440B2">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1B905B2">
            <w:pPr>
              <w:spacing w:line="240" w:lineRule="exact"/>
              <w:jc w:val="center"/>
              <w:rPr>
                <w:rFonts w:hint="eastAsia" w:ascii="方正仿宋简体" w:hAnsi="方正仿宋简体" w:eastAsia="方正仿宋简体" w:cs="方正仿宋简体"/>
                <w:color w:val="auto"/>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9FD44D6">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完成</w:t>
            </w:r>
          </w:p>
          <w:p w14:paraId="647482CF">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及时率</w:t>
            </w:r>
          </w:p>
          <w:p w14:paraId="7A84C9AE">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（4分）</w:t>
            </w:r>
          </w:p>
        </w:tc>
        <w:tc>
          <w:tcPr>
            <w:tcW w:w="687" w:type="dxa"/>
            <w:tcBorders>
              <w:top w:val="single" w:color="auto" w:sz="4" w:space="0"/>
              <w:left w:val="nil"/>
              <w:bottom w:val="single" w:color="auto" w:sz="4" w:space="0"/>
              <w:right w:val="single" w:color="auto" w:sz="4" w:space="0"/>
            </w:tcBorders>
            <w:noWrap w:val="0"/>
            <w:vAlign w:val="center"/>
          </w:tcPr>
          <w:p w14:paraId="0A73408B">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4</w:t>
            </w:r>
          </w:p>
        </w:tc>
        <w:tc>
          <w:tcPr>
            <w:tcW w:w="2544"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02978FE">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部门在规定时限内及时完成的实际工作数与计划工作数的比率,用以反映和考核部门履职时效目标的实现程度。</w:t>
            </w:r>
          </w:p>
        </w:tc>
        <w:tc>
          <w:tcPr>
            <w:tcW w:w="4386"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3307BBE">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完成及时率=（及时完成实际工作数/计划工作数）×100%。1-4季度各得1分</w:t>
            </w:r>
            <w:r>
              <w:rPr>
                <w:rFonts w:hint="eastAsia" w:ascii="方正仿宋简体" w:hAnsi="方正仿宋简体" w:eastAsia="方正仿宋简体" w:cs="方正仿宋简体"/>
                <w:color w:val="auto"/>
                <w:sz w:val="18"/>
                <w:szCs w:val="18"/>
              </w:rPr>
              <w:br w:type="textWrapping"/>
            </w:r>
          </w:p>
        </w:tc>
      </w:tr>
      <w:tr w14:paraId="6E8B0FF3">
        <w:tblPrEx>
          <w:tblCellMar>
            <w:top w:w="0" w:type="dxa"/>
            <w:left w:w="0" w:type="dxa"/>
            <w:bottom w:w="0" w:type="dxa"/>
            <w:right w:w="0" w:type="dxa"/>
          </w:tblCellMar>
        </w:tblPrEx>
        <w:trPr>
          <w:trHeight w:val="11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4E44C29">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7AE9513">
            <w:pPr>
              <w:spacing w:line="240" w:lineRule="exact"/>
              <w:jc w:val="center"/>
              <w:rPr>
                <w:rFonts w:hint="eastAsia" w:ascii="方正仿宋简体" w:hAnsi="方正仿宋简体" w:eastAsia="方正仿宋简体" w:cs="方正仿宋简体"/>
                <w:color w:val="auto"/>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82732FC">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质量</w:t>
            </w:r>
          </w:p>
          <w:p w14:paraId="404FB221">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达标率</w:t>
            </w:r>
          </w:p>
          <w:p w14:paraId="16F6A239">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（8分）</w:t>
            </w:r>
          </w:p>
        </w:tc>
        <w:tc>
          <w:tcPr>
            <w:tcW w:w="687" w:type="dxa"/>
            <w:tcBorders>
              <w:top w:val="single" w:color="auto" w:sz="4" w:space="0"/>
              <w:left w:val="nil"/>
              <w:bottom w:val="single" w:color="auto" w:sz="4" w:space="0"/>
              <w:right w:val="single" w:color="auto" w:sz="4" w:space="0"/>
            </w:tcBorders>
            <w:noWrap w:val="0"/>
            <w:vAlign w:val="center"/>
          </w:tcPr>
          <w:p w14:paraId="00E95E66">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8</w:t>
            </w:r>
          </w:p>
        </w:tc>
        <w:tc>
          <w:tcPr>
            <w:tcW w:w="2544"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BB0B257">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达到质量标准（绩效标准值）的实际工作数与计划工作数的比率,用以反映和考核部门履职质量目标的实现程度。</w:t>
            </w:r>
          </w:p>
        </w:tc>
        <w:tc>
          <w:tcPr>
            <w:tcW w:w="4386"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506CE21">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质量达标率=（质量达标实际工作数/计划工作数）×100%。实际得分=达标率*8分</w:t>
            </w:r>
          </w:p>
        </w:tc>
      </w:tr>
      <w:tr w14:paraId="4D1985DE">
        <w:tblPrEx>
          <w:tblCellMar>
            <w:top w:w="0" w:type="dxa"/>
            <w:left w:w="0" w:type="dxa"/>
            <w:bottom w:w="0" w:type="dxa"/>
            <w:right w:w="0" w:type="dxa"/>
          </w:tblCellMar>
        </w:tblPrEx>
        <w:trPr>
          <w:trHeight w:val="1103"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EE3B375">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87B74F5">
            <w:pPr>
              <w:spacing w:line="240" w:lineRule="exact"/>
              <w:jc w:val="center"/>
              <w:rPr>
                <w:rFonts w:hint="eastAsia" w:ascii="方正仿宋简体" w:hAnsi="方正仿宋简体" w:eastAsia="方正仿宋简体" w:cs="方正仿宋简体"/>
                <w:color w:val="auto"/>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2DED0A3">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重点工作办结率</w:t>
            </w:r>
          </w:p>
          <w:p w14:paraId="1E9CB4C2">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（10分）</w:t>
            </w:r>
          </w:p>
        </w:tc>
        <w:tc>
          <w:tcPr>
            <w:tcW w:w="687" w:type="dxa"/>
            <w:tcBorders>
              <w:top w:val="single" w:color="auto" w:sz="4" w:space="0"/>
              <w:left w:val="nil"/>
              <w:bottom w:val="single" w:color="auto" w:sz="4" w:space="0"/>
              <w:right w:val="single" w:color="auto" w:sz="4" w:space="0"/>
            </w:tcBorders>
            <w:noWrap w:val="0"/>
            <w:vAlign w:val="center"/>
          </w:tcPr>
          <w:p w14:paraId="29E7B748">
            <w:pPr>
              <w:tabs>
                <w:tab w:val="left" w:pos="2604"/>
              </w:tabs>
              <w:spacing w:line="240" w:lineRule="exact"/>
              <w:jc w:val="center"/>
              <w:rPr>
                <w:rFonts w:hint="default"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2544"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C6E3B9A">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部门年度重点工作实际完成数与交办或下达数的比率，用以反映部门对重点工作的办理落实程度。</w:t>
            </w:r>
          </w:p>
        </w:tc>
        <w:tc>
          <w:tcPr>
            <w:tcW w:w="4386"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7DE68A9">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重点工作办结率=（重点工作实际完成数/交办或下达数）×100%。实际得分=办结率*10分</w:t>
            </w:r>
          </w:p>
        </w:tc>
      </w:tr>
      <w:tr w14:paraId="6B0831EF">
        <w:tblPrEx>
          <w:tblCellMar>
            <w:top w:w="0" w:type="dxa"/>
            <w:left w:w="0" w:type="dxa"/>
            <w:bottom w:w="0" w:type="dxa"/>
            <w:right w:w="0" w:type="dxa"/>
          </w:tblCellMar>
        </w:tblPrEx>
        <w:trPr>
          <w:trHeight w:val="79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7F9D6BF">
            <w:pPr>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效果</w:t>
            </w:r>
          </w:p>
          <w:p w14:paraId="44FA25C6">
            <w:pPr>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DB1EC66">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履职</w:t>
            </w:r>
            <w:r>
              <w:rPr>
                <w:rFonts w:hint="eastAsia" w:ascii="方正仿宋简体" w:hAnsi="方正仿宋简体" w:eastAsia="方正仿宋简体" w:cs="方正仿宋简体"/>
                <w:color w:val="auto"/>
                <w:sz w:val="18"/>
                <w:szCs w:val="18"/>
              </w:rPr>
              <w:br w:type="textWrapping"/>
            </w:r>
            <w:r>
              <w:rPr>
                <w:rFonts w:hint="eastAsia" w:ascii="方正仿宋简体" w:hAnsi="方正仿宋简体" w:eastAsia="方正仿宋简体" w:cs="方正仿宋简体"/>
                <w:color w:val="auto"/>
                <w:sz w:val="18"/>
                <w:szCs w:val="18"/>
              </w:rPr>
              <w:t>效益</w:t>
            </w:r>
          </w:p>
          <w:p w14:paraId="2A92348C">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B78EAD1">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经济效益</w:t>
            </w:r>
          </w:p>
          <w:p w14:paraId="4F74FCFD">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（5分）</w:t>
            </w:r>
          </w:p>
        </w:tc>
        <w:tc>
          <w:tcPr>
            <w:tcW w:w="687" w:type="dxa"/>
            <w:tcBorders>
              <w:top w:val="single" w:color="auto" w:sz="4" w:space="0"/>
              <w:left w:val="nil"/>
              <w:bottom w:val="single" w:color="auto" w:sz="4" w:space="0"/>
              <w:right w:val="single" w:color="auto" w:sz="4" w:space="0"/>
            </w:tcBorders>
            <w:noWrap w:val="0"/>
            <w:vAlign w:val="center"/>
          </w:tcPr>
          <w:p w14:paraId="34D2ED3E">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5</w:t>
            </w:r>
          </w:p>
        </w:tc>
        <w:tc>
          <w:tcPr>
            <w:tcW w:w="2544"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E646A26">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部门履行职责对经济发展所带来的直接或间接影响。</w:t>
            </w:r>
          </w:p>
        </w:tc>
        <w:tc>
          <w:tcPr>
            <w:tcW w:w="4386"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59A88B6">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kern w:val="0"/>
                <w:sz w:val="18"/>
                <w:szCs w:val="18"/>
              </w:rPr>
              <w:t>按经济效益实现程度计算得分（5分）；按社会效益实现程度计算得分（5分）；按生态效益实现程度计算得分（5分）</w:t>
            </w:r>
          </w:p>
        </w:tc>
      </w:tr>
      <w:tr w14:paraId="34105133">
        <w:tblPrEx>
          <w:tblCellMar>
            <w:top w:w="0" w:type="dxa"/>
            <w:left w:w="0" w:type="dxa"/>
            <w:bottom w:w="0" w:type="dxa"/>
            <w:right w:w="0" w:type="dxa"/>
          </w:tblCellMar>
        </w:tblPrEx>
        <w:trPr>
          <w:trHeight w:val="64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6283074">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799FE53">
            <w:pPr>
              <w:spacing w:line="240" w:lineRule="exact"/>
              <w:jc w:val="center"/>
              <w:rPr>
                <w:rFonts w:hint="eastAsia" w:ascii="方正仿宋简体" w:hAnsi="方正仿宋简体" w:eastAsia="方正仿宋简体" w:cs="方正仿宋简体"/>
                <w:color w:val="auto"/>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B8D0E1D">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社会效益</w:t>
            </w:r>
          </w:p>
          <w:p w14:paraId="23AFB4BE">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（5分）</w:t>
            </w:r>
          </w:p>
        </w:tc>
        <w:tc>
          <w:tcPr>
            <w:tcW w:w="687" w:type="dxa"/>
            <w:tcBorders>
              <w:top w:val="single" w:color="auto" w:sz="4" w:space="0"/>
              <w:left w:val="nil"/>
              <w:bottom w:val="single" w:color="auto" w:sz="4" w:space="0"/>
              <w:right w:val="single" w:color="auto" w:sz="4" w:space="0"/>
            </w:tcBorders>
            <w:noWrap w:val="0"/>
            <w:vAlign w:val="center"/>
          </w:tcPr>
          <w:p w14:paraId="380C2CBD">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5</w:t>
            </w:r>
          </w:p>
        </w:tc>
        <w:tc>
          <w:tcPr>
            <w:tcW w:w="2544"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BB2A3DC">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部门履行职责对社会发展所带来的直接或间接影响。</w:t>
            </w:r>
          </w:p>
        </w:tc>
        <w:tc>
          <w:tcPr>
            <w:tcW w:w="4386" w:type="dxa"/>
            <w:vMerge w:val="continue"/>
            <w:tcBorders>
              <w:top w:val="nil"/>
              <w:left w:val="single" w:color="auto" w:sz="4" w:space="0"/>
              <w:bottom w:val="single" w:color="auto" w:sz="4" w:space="0"/>
              <w:right w:val="single" w:color="auto" w:sz="4" w:space="0"/>
            </w:tcBorders>
            <w:noWrap w:val="0"/>
            <w:vAlign w:val="center"/>
          </w:tcPr>
          <w:p w14:paraId="44686F5A">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p>
        </w:tc>
      </w:tr>
      <w:tr w14:paraId="206D7CC0">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E5424F5">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81F41DB">
            <w:pPr>
              <w:spacing w:line="240" w:lineRule="exact"/>
              <w:jc w:val="center"/>
              <w:rPr>
                <w:rFonts w:hint="eastAsia" w:ascii="方正仿宋简体" w:hAnsi="方正仿宋简体" w:eastAsia="方正仿宋简体" w:cs="方正仿宋简体"/>
                <w:color w:val="auto"/>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6798749">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生态效益</w:t>
            </w:r>
          </w:p>
          <w:p w14:paraId="527BE854">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（5分）</w:t>
            </w:r>
          </w:p>
        </w:tc>
        <w:tc>
          <w:tcPr>
            <w:tcW w:w="687" w:type="dxa"/>
            <w:tcBorders>
              <w:top w:val="single" w:color="auto" w:sz="4" w:space="0"/>
              <w:left w:val="nil"/>
              <w:bottom w:val="single" w:color="auto" w:sz="4" w:space="0"/>
              <w:right w:val="single" w:color="auto" w:sz="4" w:space="0"/>
            </w:tcBorders>
            <w:noWrap w:val="0"/>
            <w:vAlign w:val="center"/>
          </w:tcPr>
          <w:p w14:paraId="1A4E5BFB">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5</w:t>
            </w:r>
          </w:p>
        </w:tc>
        <w:tc>
          <w:tcPr>
            <w:tcW w:w="2544"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6DD4F08">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部门履行职责对生态环境所带来的直接或间接影响。</w:t>
            </w:r>
          </w:p>
        </w:tc>
        <w:tc>
          <w:tcPr>
            <w:tcW w:w="4386" w:type="dxa"/>
            <w:vMerge w:val="continue"/>
            <w:tcBorders>
              <w:top w:val="nil"/>
              <w:left w:val="single" w:color="auto" w:sz="4" w:space="0"/>
              <w:bottom w:val="single" w:color="auto" w:sz="4" w:space="0"/>
              <w:right w:val="single" w:color="auto" w:sz="4" w:space="0"/>
            </w:tcBorders>
            <w:noWrap w:val="0"/>
            <w:vAlign w:val="center"/>
          </w:tcPr>
          <w:p w14:paraId="2AADA3FF">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p>
        </w:tc>
      </w:tr>
      <w:tr w14:paraId="20667041">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F0FE994">
            <w:pPr>
              <w:spacing w:line="240" w:lineRule="exact"/>
              <w:jc w:val="center"/>
              <w:rPr>
                <w:rFonts w:hint="eastAsia" w:ascii="方正仿宋简体" w:hAnsi="方正仿宋简体" w:eastAsia="方正仿宋简体" w:cs="方正仿宋简体"/>
                <w:color w:val="auto"/>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854A59A">
            <w:pPr>
              <w:spacing w:line="240" w:lineRule="exact"/>
              <w:jc w:val="center"/>
              <w:rPr>
                <w:rFonts w:hint="eastAsia" w:ascii="方正仿宋简体" w:hAnsi="方正仿宋简体" w:eastAsia="方正仿宋简体" w:cs="方正仿宋简体"/>
                <w:color w:val="auto"/>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5F2FF21">
            <w:pPr>
              <w:spacing w:line="240" w:lineRule="exact"/>
              <w:jc w:val="center"/>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社会公众或服务对象满意度（5分）</w:t>
            </w:r>
          </w:p>
        </w:tc>
        <w:tc>
          <w:tcPr>
            <w:tcW w:w="687" w:type="dxa"/>
            <w:tcBorders>
              <w:top w:val="single" w:color="auto" w:sz="4" w:space="0"/>
              <w:left w:val="nil"/>
              <w:bottom w:val="single" w:color="auto" w:sz="4" w:space="0"/>
              <w:right w:val="single" w:color="auto" w:sz="4" w:space="0"/>
            </w:tcBorders>
            <w:noWrap w:val="0"/>
            <w:vAlign w:val="center"/>
          </w:tcPr>
          <w:p w14:paraId="1FB8592D">
            <w:pPr>
              <w:tabs>
                <w:tab w:val="left" w:pos="2604"/>
              </w:tabs>
              <w:spacing w:line="240" w:lineRule="exact"/>
              <w:jc w:val="center"/>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5</w:t>
            </w:r>
          </w:p>
        </w:tc>
        <w:tc>
          <w:tcPr>
            <w:tcW w:w="2544"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D22F9AD">
            <w:pPr>
              <w:keepNext w:val="0"/>
              <w:keepLines w:val="0"/>
              <w:pageBreakBefore w:val="0"/>
              <w:widowControl w:val="0"/>
              <w:tabs>
                <w:tab w:val="left" w:pos="2604"/>
              </w:tabs>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社会公众或部门的服务对象对部门履职效果的满意程度。</w:t>
            </w:r>
          </w:p>
        </w:tc>
        <w:tc>
          <w:tcPr>
            <w:tcW w:w="4386"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83B1AEA">
            <w:pPr>
              <w:keepNext w:val="0"/>
              <w:keepLines w:val="0"/>
              <w:pageBreakBefore w:val="0"/>
              <w:widowControl w:val="0"/>
              <w:kinsoku/>
              <w:wordWrap/>
              <w:overflowPunct/>
              <w:topLinePunct w:val="0"/>
              <w:autoSpaceDE/>
              <w:autoSpaceDN/>
              <w:bidi w:val="0"/>
              <w:adjustRightInd/>
              <w:snapToGrid/>
              <w:spacing w:line="220" w:lineRule="exact"/>
              <w:ind w:left="42" w:leftChars="20"/>
              <w:textAlignment w:val="auto"/>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kern w:val="0"/>
                <w:sz w:val="18"/>
                <w:szCs w:val="18"/>
              </w:rPr>
              <w:t>按收集到的服务对象的满意率计算得分（5分）</w:t>
            </w:r>
          </w:p>
        </w:tc>
      </w:tr>
      <w:tr w14:paraId="6CFD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28" w:type="dxa"/>
            <w:noWrap w:val="0"/>
            <w:vAlign w:val="center"/>
          </w:tcPr>
          <w:p w14:paraId="776D1239">
            <w:pPr>
              <w:widowControl/>
              <w:spacing w:line="260" w:lineRule="exact"/>
              <w:jc w:val="center"/>
              <w:rPr>
                <w:rFonts w:hint="eastAsia" w:ascii="方正仿宋简体" w:hAnsi="方正仿宋简体" w:eastAsia="方正仿宋简体" w:cs="方正仿宋简体"/>
                <w:b/>
                <w:bCs/>
                <w:color w:val="auto"/>
                <w:kern w:val="0"/>
                <w:sz w:val="20"/>
              </w:rPr>
            </w:pPr>
            <w:r>
              <w:rPr>
                <w:rFonts w:hint="eastAsia" w:ascii="方正仿宋简体" w:hAnsi="方正仿宋简体" w:eastAsia="方正仿宋简体" w:cs="方正仿宋简体"/>
                <w:b/>
                <w:bCs/>
                <w:color w:val="auto"/>
                <w:kern w:val="0"/>
                <w:sz w:val="20"/>
              </w:rPr>
              <w:t>总</w:t>
            </w:r>
            <w:r>
              <w:rPr>
                <w:rFonts w:hint="eastAsia" w:ascii="方正仿宋简体" w:hAnsi="方正仿宋简体" w:eastAsia="方正仿宋简体" w:cs="方正仿宋简体"/>
                <w:b/>
                <w:bCs/>
                <w:color w:val="auto"/>
                <w:kern w:val="0"/>
                <w:sz w:val="20"/>
                <w:lang w:val="en-US" w:eastAsia="zh-CN"/>
              </w:rPr>
              <w:t xml:space="preserve"> </w:t>
            </w:r>
            <w:r>
              <w:rPr>
                <w:rFonts w:hint="eastAsia" w:ascii="方正仿宋简体" w:hAnsi="方正仿宋简体" w:eastAsia="方正仿宋简体" w:cs="方正仿宋简体"/>
                <w:b/>
                <w:bCs/>
                <w:color w:val="auto"/>
                <w:kern w:val="0"/>
                <w:sz w:val="20"/>
              </w:rPr>
              <w:t>分</w:t>
            </w:r>
          </w:p>
        </w:tc>
        <w:tc>
          <w:tcPr>
            <w:tcW w:w="784" w:type="dxa"/>
            <w:noWrap w:val="0"/>
            <w:vAlign w:val="center"/>
          </w:tcPr>
          <w:p w14:paraId="277A0598">
            <w:pPr>
              <w:widowControl/>
              <w:spacing w:line="260" w:lineRule="exact"/>
              <w:jc w:val="center"/>
              <w:rPr>
                <w:rFonts w:hint="eastAsia" w:ascii="方正仿宋简体" w:hAnsi="方正仿宋简体" w:eastAsia="方正仿宋简体" w:cs="方正仿宋简体"/>
                <w:b/>
                <w:bCs/>
                <w:color w:val="auto"/>
                <w:kern w:val="0"/>
                <w:sz w:val="20"/>
              </w:rPr>
            </w:pPr>
            <w:r>
              <w:rPr>
                <w:rFonts w:hint="eastAsia" w:ascii="方正仿宋简体" w:hAnsi="方正仿宋简体" w:eastAsia="方正仿宋简体" w:cs="方正仿宋简体"/>
                <w:b/>
                <w:bCs/>
                <w:color w:val="auto"/>
                <w:kern w:val="0"/>
                <w:sz w:val="20"/>
              </w:rPr>
              <w:t>　</w:t>
            </w:r>
          </w:p>
        </w:tc>
        <w:tc>
          <w:tcPr>
            <w:tcW w:w="848" w:type="dxa"/>
            <w:noWrap w:val="0"/>
            <w:vAlign w:val="center"/>
          </w:tcPr>
          <w:p w14:paraId="4E78B28D">
            <w:pPr>
              <w:widowControl/>
              <w:spacing w:line="260" w:lineRule="exact"/>
              <w:jc w:val="center"/>
              <w:rPr>
                <w:rFonts w:hint="eastAsia" w:ascii="方正仿宋简体" w:hAnsi="方正仿宋简体" w:eastAsia="方正仿宋简体" w:cs="方正仿宋简体"/>
                <w:b/>
                <w:bCs/>
                <w:color w:val="auto"/>
                <w:kern w:val="0"/>
                <w:sz w:val="20"/>
              </w:rPr>
            </w:pPr>
            <w:r>
              <w:rPr>
                <w:rFonts w:hint="eastAsia" w:ascii="方正仿宋简体" w:hAnsi="方正仿宋简体" w:eastAsia="方正仿宋简体" w:cs="方正仿宋简体"/>
                <w:b/>
                <w:bCs/>
                <w:color w:val="auto"/>
                <w:kern w:val="0"/>
                <w:sz w:val="20"/>
              </w:rPr>
              <w:t>　</w:t>
            </w:r>
          </w:p>
        </w:tc>
        <w:tc>
          <w:tcPr>
            <w:tcW w:w="687" w:type="dxa"/>
            <w:noWrap w:val="0"/>
            <w:vAlign w:val="center"/>
          </w:tcPr>
          <w:p w14:paraId="38F6748A">
            <w:pPr>
              <w:widowControl/>
              <w:spacing w:line="260" w:lineRule="exact"/>
              <w:jc w:val="center"/>
              <w:rPr>
                <w:rFonts w:hint="default" w:ascii="方正仿宋简体" w:hAnsi="方正仿宋简体" w:eastAsia="方正仿宋简体" w:cs="方正仿宋简体"/>
                <w:b/>
                <w:bCs/>
                <w:color w:val="auto"/>
                <w:kern w:val="0"/>
                <w:sz w:val="20"/>
                <w:lang w:val="en-US" w:eastAsia="zh-CN"/>
              </w:rPr>
            </w:pPr>
            <w:r>
              <w:rPr>
                <w:rFonts w:hint="eastAsia" w:ascii="方正仿宋简体" w:hAnsi="方正仿宋简体" w:eastAsia="方正仿宋简体" w:cs="方正仿宋简体"/>
                <w:b/>
                <w:bCs/>
                <w:color w:val="auto"/>
                <w:kern w:val="0"/>
                <w:sz w:val="20"/>
                <w:lang w:val="en-US" w:eastAsia="zh-CN"/>
              </w:rPr>
              <w:t>99</w:t>
            </w:r>
            <w:bookmarkStart w:id="0" w:name="_GoBack"/>
            <w:bookmarkEnd w:id="0"/>
          </w:p>
        </w:tc>
        <w:tc>
          <w:tcPr>
            <w:tcW w:w="2544" w:type="dxa"/>
            <w:noWrap w:val="0"/>
            <w:vAlign w:val="center"/>
          </w:tcPr>
          <w:p w14:paraId="27CDA65E">
            <w:pPr>
              <w:widowControl/>
              <w:spacing w:line="260" w:lineRule="exact"/>
              <w:jc w:val="center"/>
              <w:rPr>
                <w:rFonts w:hint="eastAsia" w:ascii="方正仿宋简体" w:hAnsi="方正仿宋简体" w:eastAsia="方正仿宋简体" w:cs="方正仿宋简体"/>
                <w:b/>
                <w:bCs/>
                <w:color w:val="auto"/>
                <w:kern w:val="0"/>
                <w:sz w:val="20"/>
              </w:rPr>
            </w:pPr>
            <w:r>
              <w:rPr>
                <w:rFonts w:hint="eastAsia" w:ascii="方正仿宋简体" w:hAnsi="方正仿宋简体" w:eastAsia="方正仿宋简体" w:cs="方正仿宋简体"/>
                <w:b/>
                <w:bCs/>
                <w:color w:val="auto"/>
                <w:kern w:val="0"/>
                <w:sz w:val="20"/>
              </w:rPr>
              <w:t>　</w:t>
            </w:r>
          </w:p>
        </w:tc>
        <w:tc>
          <w:tcPr>
            <w:tcW w:w="4386" w:type="dxa"/>
            <w:noWrap w:val="0"/>
            <w:vAlign w:val="center"/>
          </w:tcPr>
          <w:p w14:paraId="6CCC879B">
            <w:pPr>
              <w:widowControl/>
              <w:spacing w:line="260" w:lineRule="exact"/>
              <w:jc w:val="center"/>
              <w:rPr>
                <w:rFonts w:hint="eastAsia" w:ascii="方正仿宋简体" w:hAnsi="方正仿宋简体" w:eastAsia="方正仿宋简体" w:cs="方正仿宋简体"/>
                <w:b/>
                <w:bCs/>
                <w:color w:val="auto"/>
                <w:kern w:val="0"/>
                <w:sz w:val="20"/>
              </w:rPr>
            </w:pPr>
            <w:r>
              <w:rPr>
                <w:rFonts w:hint="eastAsia" w:ascii="方正仿宋简体" w:hAnsi="方正仿宋简体" w:eastAsia="方正仿宋简体" w:cs="方正仿宋简体"/>
                <w:b/>
                <w:bCs/>
                <w:color w:val="auto"/>
                <w:kern w:val="0"/>
                <w:sz w:val="20"/>
              </w:rPr>
              <w:t>　</w:t>
            </w:r>
          </w:p>
        </w:tc>
      </w:tr>
    </w:tbl>
    <w:p w14:paraId="40F1B4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FA61A5"/>
    <w:rsid w:val="78653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3515</Words>
  <Characters>3644</Characters>
  <Lines>0</Lines>
  <Paragraphs>0</Paragraphs>
  <TotalTime>2</TotalTime>
  <ScaleCrop>false</ScaleCrop>
  <LinksUpToDate>false</LinksUpToDate>
  <CharactersWithSpaces>3651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2025-03-19T01:32:00Z</dcterms:created>
  <dc:creator>Administrator</dc:creator>
  <cp:lastModifiedBy>哞哞｀</cp:lastModifiedBy>
  <dcterms:modified xsi:type="dcterms:W3CDTF">2025-03-19T07:47:53Z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eyJoZGlkIjoiZTRlZThjN2M4YTVjYThmNGRhMjFmMTUyYjA2MWRiMDAiLCJ1c2VySWQiOiIzNDM2ODUwMjcifQ==</vt:lpwstr>
  </property>
  <property fmtid="{D5CDD505-2E9C-101B-9397-08002B2CF9AE}" pid="4" name="ICV">
    <vt:lpwstr>197347380994484DA7DA996276AA1DA3_12</vt:lpwstr>
  </property>
</Properties>
</file>