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lang w:val="en-US" w:eastAsia="zh-CN"/>
        </w:rPr>
        <w:t>2024年</w:t>
      </w:r>
      <w:r>
        <w:rPr>
          <w:rFonts w:hint="eastAsia" w:ascii="宋体" w:hAnsi="宋体" w:cs="宋体"/>
          <w:b/>
          <w:bCs/>
          <w:color w:val="auto"/>
          <w:sz w:val="32"/>
          <w:szCs w:val="32"/>
          <w:highlight w:val="none"/>
          <w:lang w:val="en-US" w:eastAsia="zh-CN"/>
        </w:rPr>
        <w:t>南县家用燃气灶具</w:t>
      </w:r>
      <w:r>
        <w:rPr>
          <w:rFonts w:hint="eastAsia" w:ascii="宋体" w:hAnsi="宋体" w:eastAsia="宋体" w:cs="宋体"/>
          <w:b/>
          <w:bCs/>
          <w:color w:val="auto"/>
          <w:sz w:val="32"/>
          <w:szCs w:val="32"/>
          <w:highlight w:val="none"/>
          <w:lang w:val="en-US" w:eastAsia="zh-CN"/>
        </w:rPr>
        <w:t>产品质量监督抽查实施细则</w:t>
      </w:r>
    </w:p>
    <w:p>
      <w:pPr>
        <w:pStyle w:val="4"/>
        <w:rPr>
          <w:rFonts w:hint="eastAsia"/>
          <w:color w:val="auto"/>
          <w:highlight w:val="none"/>
        </w:rPr>
      </w:pPr>
    </w:p>
    <w:p>
      <w:pPr>
        <w:keepNext w:val="0"/>
        <w:keepLines w:val="0"/>
        <w:pageBreakBefore w:val="0"/>
        <w:widowControl w:val="0"/>
        <w:kinsoku/>
        <w:wordWrap/>
        <w:overflowPunct/>
        <w:topLinePunct w:val="0"/>
        <w:autoSpaceDE/>
        <w:autoSpaceDN/>
        <w:bidi w:val="0"/>
        <w:adjustRightInd/>
        <w:snapToGrid w:val="0"/>
        <w:spacing w:line="440" w:lineRule="exact"/>
        <w:ind w:left="0" w:leftChars="0"/>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1 抽样方法</w:t>
      </w:r>
    </w:p>
    <w:p>
      <w:pPr>
        <w:keepNext w:val="0"/>
        <w:keepLines w:val="0"/>
        <w:pageBreakBefore w:val="0"/>
        <w:widowControl w:val="0"/>
        <w:kinsoku/>
        <w:wordWrap/>
        <w:overflowPunct/>
        <w:topLinePunct w:val="0"/>
        <w:autoSpaceDE/>
        <w:autoSpaceDN/>
        <w:bidi w:val="0"/>
        <w:adjustRightInd/>
        <w:snapToGrid w:val="0"/>
        <w:spacing w:line="440" w:lineRule="exact"/>
        <w:ind w:left="0"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以随机抽样的方式在被抽样生产者、销售者的待销产品中抽取。</w:t>
      </w:r>
    </w:p>
    <w:p>
      <w:pPr>
        <w:keepNext w:val="0"/>
        <w:keepLines w:val="0"/>
        <w:pageBreakBefore w:val="0"/>
        <w:widowControl w:val="0"/>
        <w:kinsoku/>
        <w:wordWrap/>
        <w:overflowPunct/>
        <w:topLinePunct w:val="0"/>
        <w:autoSpaceDE/>
        <w:autoSpaceDN/>
        <w:bidi w:val="0"/>
        <w:adjustRightInd/>
        <w:snapToGrid w:val="0"/>
        <w:spacing w:line="440" w:lineRule="exact"/>
        <w:ind w:left="0"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随机数一般可使用随机数表等方法产生。</w:t>
      </w:r>
    </w:p>
    <w:p>
      <w:pPr>
        <w:keepNext w:val="0"/>
        <w:keepLines w:val="0"/>
        <w:pageBreakBefore w:val="0"/>
        <w:widowControl w:val="0"/>
        <w:kinsoku/>
        <w:wordWrap/>
        <w:overflowPunct/>
        <w:topLinePunct w:val="0"/>
        <w:autoSpaceDE/>
        <w:autoSpaceDN/>
        <w:bidi w:val="0"/>
        <w:adjustRightInd/>
        <w:snapToGrid w:val="0"/>
        <w:spacing w:line="440" w:lineRule="exact"/>
        <w:ind w:left="0"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每批次产品抽样数量见表</w:t>
      </w:r>
      <w:r>
        <w:rPr>
          <w:rFonts w:hint="eastAsia" w:ascii="宋体" w:hAnsi="宋体" w:eastAsia="宋体" w:cs="宋体"/>
          <w:color w:val="auto"/>
          <w:sz w:val="21"/>
          <w:szCs w:val="21"/>
          <w:highlight w:val="none"/>
          <w:lang w:val="en-US" w:eastAsia="zh-CN"/>
        </w:rPr>
        <w:t>1。</w:t>
      </w:r>
    </w:p>
    <w:p>
      <w:pPr>
        <w:keepNext w:val="0"/>
        <w:keepLines w:val="0"/>
        <w:pageBreakBefore w:val="0"/>
        <w:widowControl w:val="0"/>
        <w:kinsoku/>
        <w:wordWrap/>
        <w:overflowPunct/>
        <w:topLinePunct w:val="0"/>
        <w:autoSpaceDE/>
        <w:autoSpaceDN/>
        <w:bidi w:val="0"/>
        <w:adjustRightInd/>
        <w:snapToGrid/>
        <w:spacing w:line="440" w:lineRule="exact"/>
        <w:ind w:left="0" w:leftChars="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表1 抽样数量</w:t>
      </w:r>
    </w:p>
    <w:tbl>
      <w:tblPr>
        <w:tblStyle w:val="8"/>
        <w:tblW w:w="85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9"/>
        <w:gridCol w:w="2167"/>
        <w:gridCol w:w="1983"/>
        <w:gridCol w:w="1850"/>
        <w:gridCol w:w="1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79" w:type="dxa"/>
            <w:noWrap w:val="0"/>
            <w:vAlign w:val="center"/>
          </w:tcPr>
          <w:p>
            <w:pPr>
              <w:keepNext w:val="0"/>
              <w:keepLines w:val="0"/>
              <w:pageBreakBefore w:val="0"/>
              <w:widowControl/>
              <w:suppressLineNumbers w:val="0"/>
              <w:kinsoku/>
              <w:wordWrap/>
              <w:overflowPunct/>
              <w:topLinePunct w:val="0"/>
              <w:autoSpaceDE/>
              <w:autoSpaceDN/>
              <w:bidi w:val="0"/>
              <w:spacing w:line="440" w:lineRule="exact"/>
              <w:ind w:left="0" w:leftChars="0"/>
              <w:jc w:val="center"/>
              <w:textAlignment w:val="center"/>
              <w:rPr>
                <w:rFonts w:hint="eastAsia" w:ascii="宋体" w:hAnsi="宋体" w:eastAsia="宋体" w:cs="宋体"/>
                <w:b w:val="0"/>
                <w:i w:val="0"/>
                <w:caps w:val="0"/>
                <w:color w:val="000000"/>
                <w:spacing w:val="0"/>
                <w:w w:val="100"/>
                <w:sz w:val="21"/>
                <w:szCs w:val="21"/>
                <w:lang w:val="en-US" w:eastAsia="zh-CN"/>
              </w:rPr>
            </w:pPr>
            <w:r>
              <w:rPr>
                <w:rFonts w:hint="eastAsia" w:ascii="宋体" w:hAnsi="宋体" w:eastAsia="宋体" w:cs="宋体"/>
                <w:b w:val="0"/>
                <w:i w:val="0"/>
                <w:caps w:val="0"/>
                <w:color w:val="000000"/>
                <w:spacing w:val="0"/>
                <w:w w:val="100"/>
                <w:sz w:val="21"/>
                <w:szCs w:val="21"/>
                <w:lang w:val="en-US" w:eastAsia="zh-CN"/>
              </w:rPr>
              <w:t>序号</w:t>
            </w:r>
          </w:p>
        </w:tc>
        <w:tc>
          <w:tcPr>
            <w:tcW w:w="2167" w:type="dxa"/>
            <w:noWrap w:val="0"/>
            <w:vAlign w:val="center"/>
          </w:tcPr>
          <w:p>
            <w:pPr>
              <w:keepNext w:val="0"/>
              <w:keepLines w:val="0"/>
              <w:pageBreakBefore w:val="0"/>
              <w:widowControl/>
              <w:suppressLineNumbers w:val="0"/>
              <w:kinsoku/>
              <w:wordWrap/>
              <w:overflowPunct/>
              <w:topLinePunct w:val="0"/>
              <w:autoSpaceDE/>
              <w:autoSpaceDN/>
              <w:bidi w:val="0"/>
              <w:spacing w:line="440" w:lineRule="exact"/>
              <w:ind w:left="0" w:leftChars="0"/>
              <w:jc w:val="center"/>
              <w:textAlignment w:val="center"/>
              <w:rPr>
                <w:rFonts w:hint="eastAsia" w:ascii="宋体" w:hAnsi="宋体" w:eastAsia="宋体" w:cs="宋体"/>
                <w:b w:val="0"/>
                <w:i w:val="0"/>
                <w:caps w:val="0"/>
                <w:color w:val="000000"/>
                <w:spacing w:val="0"/>
                <w:w w:val="100"/>
                <w:sz w:val="21"/>
                <w:szCs w:val="21"/>
                <w:lang w:val="en-US" w:eastAsia="zh-CN"/>
              </w:rPr>
            </w:pPr>
            <w:r>
              <w:rPr>
                <w:rFonts w:hint="eastAsia" w:ascii="宋体" w:hAnsi="宋体" w:eastAsia="宋体" w:cs="宋体"/>
                <w:b w:val="0"/>
                <w:i w:val="0"/>
                <w:caps w:val="0"/>
                <w:color w:val="000000"/>
                <w:spacing w:val="0"/>
                <w:w w:val="100"/>
                <w:sz w:val="21"/>
                <w:szCs w:val="21"/>
                <w:lang w:val="en-US" w:eastAsia="zh-CN"/>
              </w:rPr>
              <w:t>产品名称</w:t>
            </w:r>
          </w:p>
        </w:tc>
        <w:tc>
          <w:tcPr>
            <w:tcW w:w="1983" w:type="dxa"/>
            <w:noWrap w:val="0"/>
            <w:vAlign w:val="center"/>
          </w:tcPr>
          <w:p>
            <w:pPr>
              <w:keepNext w:val="0"/>
              <w:keepLines w:val="0"/>
              <w:pageBreakBefore w:val="0"/>
              <w:widowControl/>
              <w:suppressLineNumbers w:val="0"/>
              <w:kinsoku/>
              <w:wordWrap/>
              <w:overflowPunct/>
              <w:topLinePunct w:val="0"/>
              <w:autoSpaceDE/>
              <w:autoSpaceDN/>
              <w:bidi w:val="0"/>
              <w:spacing w:line="440" w:lineRule="exact"/>
              <w:ind w:left="0" w:leftChars="0"/>
              <w:jc w:val="center"/>
              <w:textAlignment w:val="center"/>
              <w:rPr>
                <w:rFonts w:hint="eastAsia" w:ascii="宋体" w:hAnsi="宋体" w:eastAsia="宋体" w:cs="宋体"/>
                <w:b w:val="0"/>
                <w:i w:val="0"/>
                <w:caps w:val="0"/>
                <w:color w:val="000000"/>
                <w:spacing w:val="0"/>
                <w:w w:val="100"/>
                <w:sz w:val="21"/>
                <w:szCs w:val="21"/>
                <w:lang w:val="en-US" w:eastAsia="zh-CN"/>
              </w:rPr>
            </w:pPr>
            <w:r>
              <w:rPr>
                <w:rFonts w:hint="eastAsia" w:ascii="宋体" w:hAnsi="宋体" w:eastAsia="宋体" w:cs="宋体"/>
                <w:b w:val="0"/>
                <w:i w:val="0"/>
                <w:caps w:val="0"/>
                <w:color w:val="000000"/>
                <w:spacing w:val="0"/>
                <w:w w:val="100"/>
                <w:sz w:val="21"/>
                <w:szCs w:val="21"/>
                <w:lang w:val="en-US" w:eastAsia="zh-CN"/>
              </w:rPr>
              <w:t>抽样数量</w:t>
            </w:r>
          </w:p>
        </w:tc>
        <w:tc>
          <w:tcPr>
            <w:tcW w:w="1850" w:type="dxa"/>
            <w:noWrap w:val="0"/>
            <w:vAlign w:val="center"/>
          </w:tcPr>
          <w:p>
            <w:pPr>
              <w:keepNext w:val="0"/>
              <w:keepLines w:val="0"/>
              <w:pageBreakBefore w:val="0"/>
              <w:widowControl/>
              <w:suppressLineNumbers w:val="0"/>
              <w:kinsoku/>
              <w:wordWrap/>
              <w:overflowPunct/>
              <w:topLinePunct w:val="0"/>
              <w:autoSpaceDE/>
              <w:autoSpaceDN/>
              <w:bidi w:val="0"/>
              <w:spacing w:line="440" w:lineRule="exact"/>
              <w:ind w:left="0" w:leftChars="0"/>
              <w:jc w:val="center"/>
              <w:textAlignment w:val="center"/>
              <w:rPr>
                <w:rFonts w:hint="eastAsia" w:ascii="宋体" w:hAnsi="宋体" w:eastAsia="宋体" w:cs="宋体"/>
                <w:b w:val="0"/>
                <w:i w:val="0"/>
                <w:caps w:val="0"/>
                <w:color w:val="000000"/>
                <w:spacing w:val="0"/>
                <w:w w:val="100"/>
                <w:sz w:val="21"/>
                <w:szCs w:val="21"/>
                <w:lang w:val="en-US" w:eastAsia="zh-CN"/>
              </w:rPr>
            </w:pPr>
            <w:r>
              <w:rPr>
                <w:rFonts w:hint="eastAsia" w:ascii="宋体" w:hAnsi="宋体" w:eastAsia="宋体" w:cs="宋体"/>
                <w:b w:val="0"/>
                <w:i w:val="0"/>
                <w:caps w:val="0"/>
                <w:color w:val="000000"/>
                <w:spacing w:val="0"/>
                <w:w w:val="100"/>
                <w:sz w:val="21"/>
                <w:szCs w:val="21"/>
                <w:lang w:val="en-US" w:eastAsia="zh-CN"/>
              </w:rPr>
              <w:t>检样数量</w:t>
            </w:r>
          </w:p>
        </w:tc>
        <w:tc>
          <w:tcPr>
            <w:tcW w:w="1788" w:type="dxa"/>
            <w:noWrap w:val="0"/>
            <w:vAlign w:val="center"/>
          </w:tcPr>
          <w:p>
            <w:pPr>
              <w:keepNext w:val="0"/>
              <w:keepLines w:val="0"/>
              <w:pageBreakBefore w:val="0"/>
              <w:widowControl/>
              <w:suppressLineNumbers w:val="0"/>
              <w:kinsoku/>
              <w:wordWrap/>
              <w:overflowPunct/>
              <w:topLinePunct w:val="0"/>
              <w:autoSpaceDE/>
              <w:autoSpaceDN/>
              <w:bidi w:val="0"/>
              <w:spacing w:line="440" w:lineRule="exact"/>
              <w:ind w:left="0" w:leftChars="0"/>
              <w:jc w:val="center"/>
              <w:textAlignment w:val="center"/>
              <w:rPr>
                <w:rFonts w:hint="eastAsia" w:ascii="宋体" w:hAnsi="宋体" w:eastAsia="宋体" w:cs="宋体"/>
                <w:b w:val="0"/>
                <w:i w:val="0"/>
                <w:caps w:val="0"/>
                <w:color w:val="000000"/>
                <w:spacing w:val="0"/>
                <w:w w:val="100"/>
                <w:sz w:val="21"/>
                <w:szCs w:val="21"/>
                <w:lang w:val="en-US" w:eastAsia="zh-CN"/>
              </w:rPr>
            </w:pPr>
            <w:r>
              <w:rPr>
                <w:rFonts w:hint="eastAsia" w:ascii="宋体" w:hAnsi="宋体" w:eastAsia="宋体" w:cs="宋体"/>
                <w:b w:val="0"/>
                <w:i w:val="0"/>
                <w:caps w:val="0"/>
                <w:color w:val="000000"/>
                <w:spacing w:val="0"/>
                <w:w w:val="100"/>
                <w:sz w:val="21"/>
                <w:szCs w:val="21"/>
                <w:lang w:val="en-US" w:eastAsia="zh-CN"/>
              </w:rPr>
              <w:t>备样数量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0" w:hRule="atLeast"/>
          <w:jc w:val="center"/>
        </w:trPr>
        <w:tc>
          <w:tcPr>
            <w:tcW w:w="779" w:type="dxa"/>
            <w:noWrap w:val="0"/>
            <w:vAlign w:val="center"/>
          </w:tcPr>
          <w:p>
            <w:pPr>
              <w:keepNext w:val="0"/>
              <w:keepLines w:val="0"/>
              <w:pageBreakBefore w:val="0"/>
              <w:widowControl/>
              <w:suppressLineNumbers w:val="0"/>
              <w:kinsoku/>
              <w:wordWrap/>
              <w:overflowPunct/>
              <w:topLinePunct w:val="0"/>
              <w:autoSpaceDE/>
              <w:autoSpaceDN/>
              <w:bidi w:val="0"/>
              <w:spacing w:line="240" w:lineRule="auto"/>
              <w:ind w:left="0" w:leftChars="0"/>
              <w:jc w:val="center"/>
              <w:textAlignment w:val="center"/>
              <w:rPr>
                <w:rFonts w:hint="eastAsia" w:ascii="宋体" w:hAnsi="宋体" w:eastAsia="宋体" w:cs="宋体"/>
                <w:b w:val="0"/>
                <w:i w:val="0"/>
                <w:caps w:val="0"/>
                <w:color w:val="000000"/>
                <w:spacing w:val="0"/>
                <w:w w:val="100"/>
                <w:sz w:val="21"/>
                <w:szCs w:val="21"/>
                <w:lang w:val="en-US" w:eastAsia="zh-CN"/>
              </w:rPr>
            </w:pPr>
            <w:r>
              <w:rPr>
                <w:rFonts w:hint="eastAsia" w:ascii="宋体" w:hAnsi="宋体" w:eastAsia="宋体" w:cs="宋体"/>
                <w:b w:val="0"/>
                <w:i w:val="0"/>
                <w:caps w:val="0"/>
                <w:color w:val="000000"/>
                <w:spacing w:val="0"/>
                <w:w w:val="100"/>
                <w:sz w:val="21"/>
                <w:szCs w:val="21"/>
                <w:lang w:val="en-US" w:eastAsia="zh-CN"/>
              </w:rPr>
              <w:t>1</w:t>
            </w:r>
          </w:p>
        </w:tc>
        <w:tc>
          <w:tcPr>
            <w:tcW w:w="2167" w:type="dxa"/>
            <w:noWrap w:val="0"/>
            <w:vAlign w:val="center"/>
          </w:tcPr>
          <w:p>
            <w:pPr>
              <w:keepNext w:val="0"/>
              <w:keepLines w:val="0"/>
              <w:pageBreakBefore w:val="0"/>
              <w:widowControl/>
              <w:suppressLineNumbers w:val="0"/>
              <w:kinsoku/>
              <w:wordWrap/>
              <w:overflowPunct/>
              <w:topLinePunct w:val="0"/>
              <w:autoSpaceDE/>
              <w:autoSpaceDN/>
              <w:bidi w:val="0"/>
              <w:spacing w:line="240" w:lineRule="auto"/>
              <w:ind w:left="0" w:leftChars="0"/>
              <w:jc w:val="center"/>
              <w:textAlignment w:val="center"/>
              <w:rPr>
                <w:rFonts w:hint="default" w:ascii="宋体" w:hAnsi="宋体" w:eastAsia="宋体" w:cs="宋体"/>
                <w:b w:val="0"/>
                <w:i w:val="0"/>
                <w:caps w:val="0"/>
                <w:color w:val="000000"/>
                <w:spacing w:val="0"/>
                <w:w w:val="100"/>
                <w:sz w:val="21"/>
                <w:szCs w:val="21"/>
                <w:lang w:val="en-US" w:eastAsia="zh-CN"/>
              </w:rPr>
            </w:pPr>
            <w:r>
              <w:rPr>
                <w:rFonts w:hint="eastAsia" w:ascii="宋体" w:hAnsi="宋体" w:cs="宋体"/>
                <w:b w:val="0"/>
                <w:i w:val="0"/>
                <w:caps w:val="0"/>
                <w:color w:val="000000"/>
                <w:spacing w:val="0"/>
                <w:w w:val="100"/>
                <w:sz w:val="21"/>
                <w:szCs w:val="21"/>
                <w:highlight w:val="none"/>
                <w:lang w:val="en-US" w:eastAsia="zh-CN"/>
              </w:rPr>
              <w:t>家用燃气灶具</w:t>
            </w:r>
          </w:p>
        </w:tc>
        <w:tc>
          <w:tcPr>
            <w:tcW w:w="1983" w:type="dxa"/>
            <w:noWrap w:val="0"/>
            <w:vAlign w:val="center"/>
          </w:tcPr>
          <w:p>
            <w:pPr>
              <w:keepNext w:val="0"/>
              <w:keepLines w:val="0"/>
              <w:pageBreakBefore w:val="0"/>
              <w:widowControl/>
              <w:suppressLineNumbers w:val="0"/>
              <w:kinsoku/>
              <w:wordWrap/>
              <w:overflowPunct/>
              <w:topLinePunct w:val="0"/>
              <w:autoSpaceDE/>
              <w:autoSpaceDN/>
              <w:bidi w:val="0"/>
              <w:spacing w:line="240" w:lineRule="auto"/>
              <w:ind w:left="0" w:leftChars="0"/>
              <w:jc w:val="center"/>
              <w:textAlignment w:val="center"/>
              <w:rPr>
                <w:rFonts w:hint="eastAsia" w:ascii="宋体" w:hAnsi="宋体" w:eastAsia="宋体" w:cs="宋体"/>
                <w:b w:val="0"/>
                <w:i w:val="0"/>
                <w:caps w:val="0"/>
                <w:color w:val="000000"/>
                <w:spacing w:val="0"/>
                <w:w w:val="100"/>
                <w:sz w:val="21"/>
                <w:szCs w:val="21"/>
                <w:lang w:val="en-US" w:eastAsia="zh-CN"/>
              </w:rPr>
            </w:pPr>
            <w:r>
              <w:rPr>
                <w:rFonts w:hint="eastAsia" w:ascii="宋体" w:hAnsi="宋体" w:cs="宋体"/>
                <w:b w:val="0"/>
                <w:i w:val="0"/>
                <w:caps w:val="0"/>
                <w:color w:val="000000"/>
                <w:spacing w:val="0"/>
                <w:w w:val="100"/>
                <w:sz w:val="21"/>
                <w:szCs w:val="21"/>
                <w:lang w:val="en-US" w:eastAsia="zh-CN"/>
              </w:rPr>
              <w:t>2</w:t>
            </w:r>
            <w:r>
              <w:rPr>
                <w:rFonts w:hint="eastAsia" w:ascii="宋体" w:hAnsi="宋体" w:eastAsia="宋体" w:cs="宋体"/>
                <w:b w:val="0"/>
                <w:i w:val="0"/>
                <w:caps w:val="0"/>
                <w:color w:val="000000"/>
                <w:spacing w:val="0"/>
                <w:w w:val="100"/>
                <w:sz w:val="21"/>
                <w:szCs w:val="21"/>
                <w:lang w:val="en-US" w:eastAsia="zh-CN"/>
              </w:rPr>
              <w:t>台</w:t>
            </w:r>
          </w:p>
        </w:tc>
        <w:tc>
          <w:tcPr>
            <w:tcW w:w="1850" w:type="dxa"/>
            <w:noWrap w:val="0"/>
            <w:vAlign w:val="center"/>
          </w:tcPr>
          <w:p>
            <w:pPr>
              <w:keepNext w:val="0"/>
              <w:keepLines w:val="0"/>
              <w:pageBreakBefore w:val="0"/>
              <w:widowControl/>
              <w:suppressLineNumbers w:val="0"/>
              <w:kinsoku/>
              <w:wordWrap/>
              <w:overflowPunct/>
              <w:topLinePunct w:val="0"/>
              <w:autoSpaceDE/>
              <w:autoSpaceDN/>
              <w:bidi w:val="0"/>
              <w:spacing w:line="240" w:lineRule="auto"/>
              <w:ind w:left="0" w:leftChars="0"/>
              <w:jc w:val="center"/>
              <w:textAlignment w:val="center"/>
              <w:rPr>
                <w:rFonts w:hint="eastAsia" w:ascii="宋体" w:hAnsi="宋体" w:eastAsia="宋体" w:cs="宋体"/>
                <w:b w:val="0"/>
                <w:i w:val="0"/>
                <w:caps w:val="0"/>
                <w:color w:val="000000"/>
                <w:spacing w:val="0"/>
                <w:w w:val="100"/>
                <w:sz w:val="21"/>
                <w:szCs w:val="21"/>
                <w:lang w:val="en-US" w:eastAsia="zh-CN"/>
              </w:rPr>
            </w:pPr>
            <w:r>
              <w:rPr>
                <w:rFonts w:hint="eastAsia" w:ascii="宋体" w:hAnsi="宋体" w:eastAsia="宋体" w:cs="宋体"/>
                <w:b w:val="0"/>
                <w:i w:val="0"/>
                <w:caps w:val="0"/>
                <w:color w:val="000000"/>
                <w:spacing w:val="0"/>
                <w:w w:val="100"/>
                <w:sz w:val="21"/>
                <w:szCs w:val="21"/>
                <w:lang w:val="en-US" w:eastAsia="zh-CN"/>
              </w:rPr>
              <w:t>1台</w:t>
            </w:r>
            <w:bookmarkStart w:id="2" w:name="_GoBack"/>
            <w:bookmarkEnd w:id="2"/>
          </w:p>
        </w:tc>
        <w:tc>
          <w:tcPr>
            <w:tcW w:w="1788" w:type="dxa"/>
            <w:noWrap w:val="0"/>
            <w:vAlign w:val="center"/>
          </w:tcPr>
          <w:p>
            <w:pPr>
              <w:keepNext w:val="0"/>
              <w:keepLines w:val="0"/>
              <w:pageBreakBefore w:val="0"/>
              <w:widowControl/>
              <w:suppressLineNumbers w:val="0"/>
              <w:kinsoku/>
              <w:wordWrap/>
              <w:overflowPunct/>
              <w:topLinePunct w:val="0"/>
              <w:autoSpaceDE/>
              <w:autoSpaceDN/>
              <w:bidi w:val="0"/>
              <w:spacing w:line="240" w:lineRule="auto"/>
              <w:ind w:left="0" w:leftChars="0"/>
              <w:jc w:val="center"/>
              <w:textAlignment w:val="center"/>
              <w:rPr>
                <w:rFonts w:hint="eastAsia" w:ascii="宋体" w:hAnsi="宋体" w:eastAsia="宋体" w:cs="宋体"/>
                <w:b w:val="0"/>
                <w:i w:val="0"/>
                <w:caps w:val="0"/>
                <w:color w:val="000000"/>
                <w:spacing w:val="0"/>
                <w:w w:val="100"/>
                <w:sz w:val="21"/>
                <w:szCs w:val="21"/>
                <w:lang w:val="en-US" w:eastAsia="zh-CN"/>
              </w:rPr>
            </w:pPr>
            <w:r>
              <w:rPr>
                <w:rFonts w:hint="eastAsia" w:ascii="宋体" w:hAnsi="宋体" w:eastAsia="宋体" w:cs="宋体"/>
                <w:b w:val="0"/>
                <w:i w:val="0"/>
                <w:caps w:val="0"/>
                <w:color w:val="000000"/>
                <w:spacing w:val="0"/>
                <w:w w:val="100"/>
                <w:sz w:val="21"/>
                <w:szCs w:val="21"/>
                <w:lang w:val="en-US" w:eastAsia="zh-CN"/>
              </w:rPr>
              <w:t>1台</w:t>
            </w:r>
          </w:p>
        </w:tc>
      </w:tr>
    </w:tbl>
    <w:p>
      <w:pPr>
        <w:keepNext w:val="0"/>
        <w:keepLines w:val="0"/>
        <w:pageBreakBefore w:val="0"/>
        <w:kinsoku/>
        <w:wordWrap/>
        <w:overflowPunct/>
        <w:topLinePunct w:val="0"/>
        <w:autoSpaceDE/>
        <w:autoSpaceDN/>
        <w:bidi w:val="0"/>
        <w:snapToGrid w:val="0"/>
        <w:spacing w:line="440" w:lineRule="exact"/>
        <w:ind w:left="0" w:leftChars="0"/>
        <w:textAlignment w:val="auto"/>
        <w:rPr>
          <w:rFonts w:hint="eastAsia" w:ascii="宋体" w:hAnsi="宋体" w:eastAsia="宋体" w:cs="宋体"/>
          <w:b/>
          <w:bCs/>
          <w:color w:val="auto"/>
          <w:sz w:val="21"/>
          <w:szCs w:val="21"/>
          <w:highlight w:val="none"/>
        </w:rPr>
      </w:pPr>
    </w:p>
    <w:p>
      <w:pPr>
        <w:keepNext w:val="0"/>
        <w:keepLines w:val="0"/>
        <w:pageBreakBefore w:val="0"/>
        <w:kinsoku/>
        <w:wordWrap/>
        <w:overflowPunct/>
        <w:topLinePunct w:val="0"/>
        <w:autoSpaceDE/>
        <w:autoSpaceDN/>
        <w:bidi w:val="0"/>
        <w:snapToGrid w:val="0"/>
        <w:spacing w:line="440" w:lineRule="exact"/>
        <w:ind w:left="0" w:leftChars="0"/>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2 检验依据</w:t>
      </w:r>
    </w:p>
    <w:p>
      <w:pPr>
        <w:keepNext w:val="0"/>
        <w:keepLines w:val="0"/>
        <w:pageBreakBefore w:val="0"/>
        <w:kinsoku/>
        <w:wordWrap/>
        <w:overflowPunct/>
        <w:topLinePunct w:val="0"/>
        <w:autoSpaceDE/>
        <w:autoSpaceDN/>
        <w:bidi w:val="0"/>
        <w:spacing w:line="440" w:lineRule="exact"/>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 xml:space="preserve">表2 </w:t>
      </w:r>
      <w:r>
        <w:rPr>
          <w:rFonts w:hint="eastAsia" w:ascii="宋体" w:hAnsi="宋体" w:cs="宋体"/>
          <w:color w:val="auto"/>
          <w:sz w:val="21"/>
          <w:szCs w:val="21"/>
          <w:highlight w:val="none"/>
          <w:lang w:val="en-US" w:eastAsia="zh-CN"/>
        </w:rPr>
        <w:t>家用燃气灶具</w:t>
      </w:r>
      <w:r>
        <w:rPr>
          <w:rFonts w:hint="eastAsia" w:ascii="宋体" w:hAnsi="宋体" w:eastAsia="宋体" w:cs="宋体"/>
          <w:color w:val="auto"/>
          <w:sz w:val="21"/>
          <w:szCs w:val="21"/>
          <w:highlight w:val="none"/>
          <w:lang w:val="en-US" w:eastAsia="zh-CN"/>
        </w:rPr>
        <w:t>检验项目</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2"/>
        <w:gridCol w:w="4033"/>
        <w:gridCol w:w="3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82" w:type="dxa"/>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序号</w:t>
            </w:r>
          </w:p>
        </w:tc>
        <w:tc>
          <w:tcPr>
            <w:tcW w:w="4033" w:type="dxa"/>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检验项目</w:t>
            </w:r>
          </w:p>
        </w:tc>
        <w:tc>
          <w:tcPr>
            <w:tcW w:w="3662" w:type="dxa"/>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82" w:type="dxa"/>
            <w:noWrap w:val="0"/>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color w:val="auto"/>
                <w:kern w:val="0"/>
                <w:sz w:val="21"/>
                <w:szCs w:val="21"/>
                <w:highlight w:val="none"/>
                <w:lang w:val="en-US" w:eastAsia="zh-CN" w:bidi="ar-SA"/>
              </w:rPr>
            </w:pPr>
          </w:p>
        </w:tc>
        <w:tc>
          <w:tcPr>
            <w:tcW w:w="4033" w:type="dxa"/>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熄火保护装置</w:t>
            </w:r>
          </w:p>
        </w:tc>
        <w:tc>
          <w:tcPr>
            <w:tcW w:w="3662" w:type="dxa"/>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GB 16410-2020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82" w:type="dxa"/>
            <w:noWrap w:val="0"/>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color w:val="auto"/>
                <w:kern w:val="0"/>
                <w:sz w:val="21"/>
                <w:szCs w:val="21"/>
                <w:highlight w:val="none"/>
              </w:rPr>
            </w:pPr>
          </w:p>
        </w:tc>
        <w:tc>
          <w:tcPr>
            <w:tcW w:w="4033" w:type="dxa"/>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火焰传递</w:t>
            </w:r>
          </w:p>
        </w:tc>
        <w:tc>
          <w:tcPr>
            <w:tcW w:w="3662" w:type="dxa"/>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2"/>
                <w:sz w:val="21"/>
                <w:szCs w:val="21"/>
                <w:u w:val="none"/>
                <w:lang w:val="en-US" w:eastAsia="zh-CN" w:bidi="ar-SA"/>
              </w:rPr>
              <w:t>GB 16410-2020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82" w:type="dxa"/>
            <w:noWrap w:val="0"/>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color w:val="auto"/>
                <w:kern w:val="0"/>
                <w:sz w:val="21"/>
                <w:szCs w:val="21"/>
                <w:highlight w:val="none"/>
                <w:lang w:val="en-US" w:eastAsia="zh-CN" w:bidi="ar-SA"/>
              </w:rPr>
            </w:pPr>
          </w:p>
        </w:tc>
        <w:tc>
          <w:tcPr>
            <w:tcW w:w="4033" w:type="dxa"/>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离焰</w:t>
            </w:r>
          </w:p>
        </w:tc>
        <w:tc>
          <w:tcPr>
            <w:tcW w:w="3662" w:type="dxa"/>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GB 16410-2020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82" w:type="dxa"/>
            <w:noWrap w:val="0"/>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kern w:val="2"/>
                <w:sz w:val="21"/>
                <w:szCs w:val="21"/>
                <w:lang w:val="en-US" w:eastAsia="zh-CN" w:bidi="ar-SA"/>
              </w:rPr>
            </w:pPr>
          </w:p>
        </w:tc>
        <w:tc>
          <w:tcPr>
            <w:tcW w:w="4033" w:type="dxa"/>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耐油性能</w:t>
            </w:r>
          </w:p>
        </w:tc>
        <w:tc>
          <w:tcPr>
            <w:tcW w:w="3662" w:type="dxa"/>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GB 16410-2020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82" w:type="dxa"/>
            <w:noWrap w:val="0"/>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kern w:val="2"/>
                <w:sz w:val="21"/>
                <w:szCs w:val="21"/>
                <w:lang w:val="en-US" w:eastAsia="zh-CN" w:bidi="ar-SA"/>
              </w:rPr>
            </w:pPr>
          </w:p>
        </w:tc>
        <w:tc>
          <w:tcPr>
            <w:tcW w:w="4033" w:type="dxa"/>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熄火</w:t>
            </w:r>
          </w:p>
        </w:tc>
        <w:tc>
          <w:tcPr>
            <w:tcW w:w="3662" w:type="dxa"/>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GB 16410-2020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82" w:type="dxa"/>
            <w:noWrap w:val="0"/>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kern w:val="2"/>
                <w:sz w:val="21"/>
                <w:szCs w:val="21"/>
                <w:lang w:val="en-US" w:eastAsia="zh-CN" w:bidi="ar-SA"/>
              </w:rPr>
            </w:pPr>
          </w:p>
        </w:tc>
        <w:tc>
          <w:tcPr>
            <w:tcW w:w="4033" w:type="dxa"/>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电点火装置</w:t>
            </w:r>
          </w:p>
        </w:tc>
        <w:tc>
          <w:tcPr>
            <w:tcW w:w="3662" w:type="dxa"/>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GB 16410-2020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82" w:type="dxa"/>
            <w:noWrap w:val="0"/>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kern w:val="2"/>
                <w:sz w:val="21"/>
                <w:szCs w:val="21"/>
                <w:lang w:val="en-US" w:eastAsia="zh-CN" w:bidi="ar-SA"/>
              </w:rPr>
            </w:pPr>
          </w:p>
        </w:tc>
        <w:tc>
          <w:tcPr>
            <w:tcW w:w="4033" w:type="dxa"/>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标志</w:t>
            </w:r>
          </w:p>
        </w:tc>
        <w:tc>
          <w:tcPr>
            <w:tcW w:w="3662" w:type="dxa"/>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GB 16410-2020</w:t>
            </w:r>
          </w:p>
        </w:tc>
      </w:tr>
    </w:tbl>
    <w:p>
      <w:pPr>
        <w:keepNext w:val="0"/>
        <w:keepLines w:val="0"/>
        <w:pageBreakBefore w:val="0"/>
        <w:widowControl w:val="0"/>
        <w:kinsoku/>
        <w:wordWrap/>
        <w:overflowPunct/>
        <w:topLinePunct w:val="0"/>
        <w:autoSpaceDE/>
        <w:autoSpaceDN/>
        <w:bidi w:val="0"/>
        <w:adjustRightInd w:val="0"/>
        <w:snapToGrid w:val="0"/>
        <w:spacing w:line="440" w:lineRule="exact"/>
        <w:ind w:left="0"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执行企业标准、团体标准、地方标准的产品，检验项目参照上述内容执行。</w:t>
      </w:r>
    </w:p>
    <w:p>
      <w:pPr>
        <w:keepNext w:val="0"/>
        <w:keepLines w:val="0"/>
        <w:pageBreakBefore w:val="0"/>
        <w:widowControl w:val="0"/>
        <w:kinsoku/>
        <w:wordWrap/>
        <w:overflowPunct/>
        <w:topLinePunct w:val="0"/>
        <w:autoSpaceDE/>
        <w:autoSpaceDN/>
        <w:bidi w:val="0"/>
        <w:snapToGrid w:val="0"/>
        <w:spacing w:line="440" w:lineRule="exact"/>
        <w:ind w:left="0" w:leftChars="0" w:firstLine="359" w:firstLineChars="171"/>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凡是注日期的文件，其随后所有的修改单（不包括勘误的内容）或修订版不适用于本细则。凡是不注日期的文件，其最新版本适用于本细则。</w:t>
      </w:r>
    </w:p>
    <w:p>
      <w:pPr>
        <w:keepNext w:val="0"/>
        <w:keepLines w:val="0"/>
        <w:pageBreakBefore w:val="0"/>
        <w:widowControl w:val="0"/>
        <w:kinsoku/>
        <w:wordWrap/>
        <w:overflowPunct/>
        <w:topLinePunct w:val="0"/>
        <w:autoSpaceDE/>
        <w:autoSpaceDN/>
        <w:bidi w:val="0"/>
        <w:snapToGrid w:val="0"/>
        <w:spacing w:line="440" w:lineRule="exact"/>
        <w:ind w:left="0" w:leftChars="0" w:firstLine="359" w:firstLineChars="171"/>
        <w:textAlignment w:val="auto"/>
        <w:rPr>
          <w:rFonts w:hint="eastAsia" w:ascii="宋体" w:hAnsi="宋体" w:eastAsia="宋体" w:cs="宋体"/>
          <w:color w:val="auto"/>
          <w:sz w:val="21"/>
          <w:szCs w:val="21"/>
          <w:highlight w:val="none"/>
        </w:rPr>
      </w:pPr>
    </w:p>
    <w:p>
      <w:pPr>
        <w:keepNext w:val="0"/>
        <w:keepLines w:val="0"/>
        <w:pageBreakBefore w:val="0"/>
        <w:widowControl w:val="0"/>
        <w:kinsoku/>
        <w:wordWrap/>
        <w:overflowPunct/>
        <w:topLinePunct w:val="0"/>
        <w:autoSpaceDE/>
        <w:autoSpaceDN/>
        <w:bidi w:val="0"/>
        <w:spacing w:line="440" w:lineRule="exact"/>
        <w:ind w:left="0" w:leftChars="0"/>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3 判定规则</w:t>
      </w:r>
    </w:p>
    <w:p>
      <w:pPr>
        <w:keepNext w:val="0"/>
        <w:keepLines w:val="0"/>
        <w:pageBreakBefore w:val="0"/>
        <w:widowControl w:val="0"/>
        <w:kinsoku/>
        <w:wordWrap/>
        <w:overflowPunct/>
        <w:topLinePunct w:val="0"/>
        <w:autoSpaceDE/>
        <w:autoSpaceDN/>
        <w:bidi w:val="0"/>
        <w:snapToGrid w:val="0"/>
        <w:spacing w:line="440" w:lineRule="exact"/>
        <w:ind w:left="0" w:left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3.1依据标准</w:t>
      </w:r>
      <w:bookmarkStart w:id="0" w:name="_Hlk32567754"/>
    </w:p>
    <w:p>
      <w:pPr>
        <w:keepNext w:val="0"/>
        <w:keepLines w:val="0"/>
        <w:pageBreakBefore w:val="0"/>
        <w:widowControl w:val="0"/>
        <w:kinsoku/>
        <w:wordWrap/>
        <w:overflowPunct/>
        <w:topLinePunct w:val="0"/>
        <w:autoSpaceDE/>
        <w:autoSpaceDN/>
        <w:bidi w:val="0"/>
        <w:adjustRightInd w:val="0"/>
        <w:snapToGrid w:val="0"/>
        <w:spacing w:line="440" w:lineRule="exact"/>
        <w:ind w:left="0" w:leftChars="0" w:firstLine="420" w:firstLineChars="200"/>
        <w:textAlignment w:val="auto"/>
        <w:rPr>
          <w:rFonts w:hint="eastAsia" w:ascii="宋体" w:hAnsi="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GB 16410-2020</w:t>
      </w:r>
      <w:r>
        <w:rPr>
          <w:rFonts w:hint="eastAsia" w:ascii="宋体" w:hAnsi="宋体" w:cs="宋体"/>
          <w:color w:val="auto"/>
          <w:sz w:val="21"/>
          <w:szCs w:val="21"/>
          <w:highlight w:val="none"/>
          <w:lang w:val="en-US" w:eastAsia="zh-CN"/>
        </w:rPr>
        <w:t xml:space="preserve"> 家用燃气灶具</w:t>
      </w:r>
    </w:p>
    <w:p>
      <w:pPr>
        <w:keepNext w:val="0"/>
        <w:keepLines w:val="0"/>
        <w:pageBreakBefore w:val="0"/>
        <w:widowControl w:val="0"/>
        <w:kinsoku/>
        <w:wordWrap/>
        <w:overflowPunct/>
        <w:topLinePunct w:val="0"/>
        <w:autoSpaceDE/>
        <w:autoSpaceDN/>
        <w:bidi w:val="0"/>
        <w:adjustRightInd w:val="0"/>
        <w:snapToGrid w:val="0"/>
        <w:spacing w:line="440" w:lineRule="exact"/>
        <w:ind w:left="0" w:leftChars="0"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现行有效的企业标准、团体标准、地方标准及产品明示质量要求</w:t>
      </w:r>
    </w:p>
    <w:bookmarkEnd w:id="0"/>
    <w:p>
      <w:pPr>
        <w:keepNext w:val="0"/>
        <w:keepLines w:val="0"/>
        <w:pageBreakBefore w:val="0"/>
        <w:widowControl w:val="0"/>
        <w:kinsoku/>
        <w:wordWrap/>
        <w:overflowPunct/>
        <w:topLinePunct w:val="0"/>
        <w:autoSpaceDE/>
        <w:autoSpaceDN/>
        <w:bidi w:val="0"/>
        <w:snapToGrid w:val="0"/>
        <w:spacing w:line="440" w:lineRule="exact"/>
        <w:ind w:left="0" w:leftChars="0"/>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3.2判定原则</w:t>
      </w:r>
    </w:p>
    <w:p>
      <w:pPr>
        <w:keepNext w:val="0"/>
        <w:keepLines w:val="0"/>
        <w:pageBreakBefore w:val="0"/>
        <w:widowControl w:val="0"/>
        <w:kinsoku/>
        <w:wordWrap/>
        <w:overflowPunct/>
        <w:topLinePunct w:val="0"/>
        <w:autoSpaceDE/>
        <w:autoSpaceDN/>
        <w:bidi w:val="0"/>
        <w:snapToGrid w:val="0"/>
        <w:spacing w:line="440" w:lineRule="exact"/>
        <w:ind w:left="0" w:leftChars="0" w:firstLine="420" w:firstLineChars="200"/>
        <w:textAlignment w:val="auto"/>
        <w:rPr>
          <w:rFonts w:hint="eastAsia" w:ascii="宋体" w:hAnsi="宋体" w:eastAsia="宋体" w:cs="宋体"/>
          <w:color w:val="auto"/>
          <w:kern w:val="2"/>
          <w:sz w:val="21"/>
          <w:szCs w:val="21"/>
          <w:highlight w:val="none"/>
          <w:lang w:val="en-US" w:eastAsia="zh-CN" w:bidi="ar-SA"/>
        </w:rPr>
      </w:pPr>
      <w:bookmarkStart w:id="1" w:name="_Hlk33514746"/>
      <w:r>
        <w:rPr>
          <w:rFonts w:hint="eastAsia" w:ascii="宋体" w:hAnsi="宋体" w:eastAsia="宋体" w:cs="宋体"/>
          <w:color w:val="auto"/>
          <w:kern w:val="2"/>
          <w:sz w:val="21"/>
          <w:szCs w:val="21"/>
          <w:highlight w:val="none"/>
          <w:lang w:val="en-US" w:eastAsia="zh-CN" w:bidi="ar-SA"/>
        </w:rPr>
        <w:t>经检验，检验项目全部合格，判定为被抽查产品所检项目未发现不合格；检验项目中任一项或一项以上不合格，判定为被抽查产品不合格。</w:t>
      </w:r>
    </w:p>
    <w:p>
      <w:pPr>
        <w:keepNext w:val="0"/>
        <w:keepLines w:val="0"/>
        <w:pageBreakBefore w:val="0"/>
        <w:widowControl w:val="0"/>
        <w:kinsoku/>
        <w:wordWrap/>
        <w:overflowPunct/>
        <w:topLinePunct w:val="0"/>
        <w:autoSpaceDE/>
        <w:autoSpaceDN/>
        <w:bidi w:val="0"/>
        <w:snapToGrid w:val="0"/>
        <w:spacing w:line="440" w:lineRule="exact"/>
        <w:ind w:left="0" w:leftChars="0" w:firstLine="417" w:firstLineChars="199"/>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若被检产品明示的质量要求高于本细则中检验项目依据的标准要求时，应按被检产品明示的质量要求判定。</w:t>
      </w:r>
    </w:p>
    <w:p>
      <w:pPr>
        <w:keepNext w:val="0"/>
        <w:keepLines w:val="0"/>
        <w:pageBreakBefore w:val="0"/>
        <w:widowControl w:val="0"/>
        <w:kinsoku/>
        <w:wordWrap/>
        <w:overflowPunct/>
        <w:topLinePunct w:val="0"/>
        <w:autoSpaceDE/>
        <w:autoSpaceDN/>
        <w:bidi w:val="0"/>
        <w:snapToGrid w:val="0"/>
        <w:spacing w:line="440" w:lineRule="exact"/>
        <w:ind w:left="0" w:leftChars="0" w:firstLine="417" w:firstLineChars="199"/>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若被检产品明示的质量要求低于本细则中检验项目依据的强制性标准要求时，应按照强制性标准要求判定。</w:t>
      </w:r>
    </w:p>
    <w:p>
      <w:pPr>
        <w:keepNext w:val="0"/>
        <w:keepLines w:val="0"/>
        <w:pageBreakBefore w:val="0"/>
        <w:widowControl w:val="0"/>
        <w:kinsoku/>
        <w:wordWrap/>
        <w:overflowPunct/>
        <w:topLinePunct w:val="0"/>
        <w:autoSpaceDE/>
        <w:autoSpaceDN/>
        <w:bidi w:val="0"/>
        <w:snapToGrid w:val="0"/>
        <w:spacing w:line="440" w:lineRule="exact"/>
        <w:ind w:left="0" w:leftChars="0" w:firstLine="417" w:firstLineChars="199"/>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若被检产品明示的质量要求低于或包含本细则中检验项目依据的推荐性标准要求时，应以被检产品明示的质量要求判定。</w:t>
      </w:r>
    </w:p>
    <w:p>
      <w:pPr>
        <w:keepNext w:val="0"/>
        <w:keepLines w:val="0"/>
        <w:pageBreakBefore w:val="0"/>
        <w:widowControl w:val="0"/>
        <w:kinsoku/>
        <w:wordWrap/>
        <w:overflowPunct/>
        <w:topLinePunct w:val="0"/>
        <w:autoSpaceDE/>
        <w:autoSpaceDN/>
        <w:bidi w:val="0"/>
        <w:snapToGrid w:val="0"/>
        <w:spacing w:line="440" w:lineRule="exact"/>
        <w:ind w:left="0" w:leftChars="0" w:firstLine="417" w:firstLineChars="199"/>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若被检产品明示的质量要求缺少本细则中检验项目依据的强制性标准要求时，应按照强制性标准要求判定。</w:t>
      </w:r>
    </w:p>
    <w:p>
      <w:pPr>
        <w:keepNext w:val="0"/>
        <w:keepLines w:val="0"/>
        <w:pageBreakBefore w:val="0"/>
        <w:widowControl w:val="0"/>
        <w:kinsoku/>
        <w:wordWrap/>
        <w:overflowPunct/>
        <w:topLinePunct w:val="0"/>
        <w:autoSpaceDE/>
        <w:autoSpaceDN/>
        <w:bidi w:val="0"/>
        <w:snapToGrid w:val="0"/>
        <w:spacing w:line="440" w:lineRule="exact"/>
        <w:ind w:left="0" w:leftChars="0" w:firstLine="417" w:firstLineChars="199"/>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若被检产品明示的质量要求缺少本细则中检验项目依据的推荐性标准要求时，该项目不参与判定。</w:t>
      </w:r>
      <w:bookmarkEnd w:id="1"/>
    </w:p>
    <w:p/>
    <w:sectPr>
      <w:headerReference r:id="rId3" w:type="default"/>
      <w:footerReference r:id="rId4" w:type="default"/>
      <w:footerReference r:id="rId5" w:type="even"/>
      <w:pgSz w:w="11906" w:h="16838"/>
      <w:pgMar w:top="1985" w:right="1474" w:bottom="1644" w:left="1474" w:header="851" w:footer="1191"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rPr>
        <w:lang w:val="zh-CN"/>
      </w:rPr>
      <w:fldChar w:fldCharType="begin"/>
    </w:r>
    <w:r>
      <w:rPr>
        <w:lang w:val="zh-CN"/>
      </w:rPr>
      <w:instrText xml:space="preserve"> PAGE   \* MERGEFORMAT </w:instrText>
    </w:r>
    <w:r>
      <w:rPr>
        <w:lang w:val="zh-CN"/>
      </w:rPr>
      <w:fldChar w:fldCharType="separate"/>
    </w:r>
    <w:r>
      <w:t>1</w:t>
    </w:r>
    <w:r>
      <w:rPr>
        <w:lang w:val="zh-CN"/>
      </w:rPr>
      <w:fldChar w:fldCharType="end"/>
    </w:r>
  </w:p>
  <w:p>
    <w:pPr>
      <w:pStyle w:val="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0"/>
      </w:rPr>
    </w:pPr>
    <w:r>
      <w:fldChar w:fldCharType="begin"/>
    </w:r>
    <w:r>
      <w:rPr>
        <w:rStyle w:val="10"/>
      </w:rPr>
      <w:instrText xml:space="preserve">PAGE  </w:instrText>
    </w:r>
    <w:r>
      <w:fldChar w:fldCharType="separate"/>
    </w:r>
    <w:r>
      <w:rPr>
        <w:rStyle w:val="10"/>
      </w:rPr>
      <w:t>2</w:t>
    </w:r>
    <w:r>
      <w:fldChar w:fldCharType="end"/>
    </w:r>
  </w:p>
  <w:p>
    <w:pPr>
      <w:pStyle w:val="6"/>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8FF499D"/>
    <w:multiLevelType w:val="singleLevel"/>
    <w:tmpl w:val="58FF499D"/>
    <w:lvl w:ilvl="0" w:tentative="0">
      <w:start w:val="1"/>
      <w:numFmt w:val="decimal"/>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NkZWQ5YzM1ZTUzZGM3YjE5ZGQ5NjYwNTEwYjQxZmQifQ=="/>
    <w:docVar w:name="KSO_WPS_MARK_KEY" w:val="87cac2fa-0a50-46e3-834d-f98d8c64d2fd"/>
  </w:docVars>
  <w:rsids>
    <w:rsidRoot w:val="00000000"/>
    <w:rsid w:val="006B44D0"/>
    <w:rsid w:val="009C512B"/>
    <w:rsid w:val="00B47494"/>
    <w:rsid w:val="01090B26"/>
    <w:rsid w:val="01127559"/>
    <w:rsid w:val="012A6BDB"/>
    <w:rsid w:val="01852063"/>
    <w:rsid w:val="01A85D51"/>
    <w:rsid w:val="0326557A"/>
    <w:rsid w:val="036A2E67"/>
    <w:rsid w:val="03D177E1"/>
    <w:rsid w:val="05151950"/>
    <w:rsid w:val="05412745"/>
    <w:rsid w:val="06D1542A"/>
    <w:rsid w:val="074A238C"/>
    <w:rsid w:val="0822060B"/>
    <w:rsid w:val="095D372A"/>
    <w:rsid w:val="09904F74"/>
    <w:rsid w:val="099E1F14"/>
    <w:rsid w:val="09DE5915"/>
    <w:rsid w:val="0A546A76"/>
    <w:rsid w:val="0B161F7E"/>
    <w:rsid w:val="0BC639A4"/>
    <w:rsid w:val="0BD240F7"/>
    <w:rsid w:val="0C3152C1"/>
    <w:rsid w:val="0C525237"/>
    <w:rsid w:val="0C8E3A3C"/>
    <w:rsid w:val="0D29243C"/>
    <w:rsid w:val="0D7731A8"/>
    <w:rsid w:val="0DA47D15"/>
    <w:rsid w:val="0DD50CEF"/>
    <w:rsid w:val="0E082052"/>
    <w:rsid w:val="0E0F1632"/>
    <w:rsid w:val="0E5A609B"/>
    <w:rsid w:val="0F8676D2"/>
    <w:rsid w:val="107751B2"/>
    <w:rsid w:val="10944070"/>
    <w:rsid w:val="118E0AC0"/>
    <w:rsid w:val="12096398"/>
    <w:rsid w:val="138A175B"/>
    <w:rsid w:val="13A40300"/>
    <w:rsid w:val="14C91E0F"/>
    <w:rsid w:val="14D3578A"/>
    <w:rsid w:val="14EC6584"/>
    <w:rsid w:val="15167ED2"/>
    <w:rsid w:val="155B6F0B"/>
    <w:rsid w:val="164D719B"/>
    <w:rsid w:val="165A3666"/>
    <w:rsid w:val="16684490"/>
    <w:rsid w:val="16FF6CDE"/>
    <w:rsid w:val="19B47531"/>
    <w:rsid w:val="1A98775E"/>
    <w:rsid w:val="1B6F54BE"/>
    <w:rsid w:val="1C13411D"/>
    <w:rsid w:val="1C7865F4"/>
    <w:rsid w:val="1CB6536F"/>
    <w:rsid w:val="1D5E3A3C"/>
    <w:rsid w:val="1DD71E52"/>
    <w:rsid w:val="1E7E37DC"/>
    <w:rsid w:val="1E911BEF"/>
    <w:rsid w:val="1F5F3A9B"/>
    <w:rsid w:val="1F937941"/>
    <w:rsid w:val="1FDA1374"/>
    <w:rsid w:val="203A06AF"/>
    <w:rsid w:val="219F0AC7"/>
    <w:rsid w:val="22456F79"/>
    <w:rsid w:val="22E91FFA"/>
    <w:rsid w:val="23264FFC"/>
    <w:rsid w:val="240F76C7"/>
    <w:rsid w:val="24D92627"/>
    <w:rsid w:val="257B0F03"/>
    <w:rsid w:val="25D32AED"/>
    <w:rsid w:val="25FA56E9"/>
    <w:rsid w:val="262275D1"/>
    <w:rsid w:val="27BD1CA7"/>
    <w:rsid w:val="281F201A"/>
    <w:rsid w:val="28254993"/>
    <w:rsid w:val="28AF7842"/>
    <w:rsid w:val="2A273408"/>
    <w:rsid w:val="2B090C0F"/>
    <w:rsid w:val="2B607E88"/>
    <w:rsid w:val="2B6A3EF4"/>
    <w:rsid w:val="2D510EC7"/>
    <w:rsid w:val="2DE87C74"/>
    <w:rsid w:val="2DED6B62"/>
    <w:rsid w:val="2E7A61FC"/>
    <w:rsid w:val="2EB03F9E"/>
    <w:rsid w:val="2ED56370"/>
    <w:rsid w:val="2F2457F2"/>
    <w:rsid w:val="2F2B74F6"/>
    <w:rsid w:val="2F67728E"/>
    <w:rsid w:val="2F6C3AD9"/>
    <w:rsid w:val="2F8F3F29"/>
    <w:rsid w:val="30703D5A"/>
    <w:rsid w:val="307B625B"/>
    <w:rsid w:val="30CA215E"/>
    <w:rsid w:val="317F1D7B"/>
    <w:rsid w:val="32236BAB"/>
    <w:rsid w:val="322660CF"/>
    <w:rsid w:val="330B1B18"/>
    <w:rsid w:val="33883169"/>
    <w:rsid w:val="33C543BD"/>
    <w:rsid w:val="345557DE"/>
    <w:rsid w:val="346D235F"/>
    <w:rsid w:val="34831B82"/>
    <w:rsid w:val="355157DD"/>
    <w:rsid w:val="35B30245"/>
    <w:rsid w:val="35F5085E"/>
    <w:rsid w:val="36625EF3"/>
    <w:rsid w:val="36B64491"/>
    <w:rsid w:val="36EE59D9"/>
    <w:rsid w:val="36F154C9"/>
    <w:rsid w:val="36FE0D64"/>
    <w:rsid w:val="37C3246B"/>
    <w:rsid w:val="381A164E"/>
    <w:rsid w:val="38743CBC"/>
    <w:rsid w:val="38935966"/>
    <w:rsid w:val="39BD78E5"/>
    <w:rsid w:val="39D32C64"/>
    <w:rsid w:val="39EC3D26"/>
    <w:rsid w:val="39EE5CF0"/>
    <w:rsid w:val="3A2B0CF2"/>
    <w:rsid w:val="3A2C6A84"/>
    <w:rsid w:val="3A3F654C"/>
    <w:rsid w:val="3AF80B2A"/>
    <w:rsid w:val="3B677B08"/>
    <w:rsid w:val="3BB014AF"/>
    <w:rsid w:val="3BD74C8E"/>
    <w:rsid w:val="3C4F3BDE"/>
    <w:rsid w:val="3C6A5B02"/>
    <w:rsid w:val="3C905550"/>
    <w:rsid w:val="3D3103CE"/>
    <w:rsid w:val="3DA46DF1"/>
    <w:rsid w:val="3E4405D4"/>
    <w:rsid w:val="3EC05EAD"/>
    <w:rsid w:val="411E6EBB"/>
    <w:rsid w:val="4250579A"/>
    <w:rsid w:val="429A6A15"/>
    <w:rsid w:val="436E4771"/>
    <w:rsid w:val="438438A3"/>
    <w:rsid w:val="451C1963"/>
    <w:rsid w:val="45246A6A"/>
    <w:rsid w:val="45625E73"/>
    <w:rsid w:val="4568543D"/>
    <w:rsid w:val="469F284C"/>
    <w:rsid w:val="46B1432D"/>
    <w:rsid w:val="46BA1434"/>
    <w:rsid w:val="478A34FC"/>
    <w:rsid w:val="48E22EC4"/>
    <w:rsid w:val="49951C31"/>
    <w:rsid w:val="4ABB463C"/>
    <w:rsid w:val="4C211F55"/>
    <w:rsid w:val="4C83051A"/>
    <w:rsid w:val="4D1D271C"/>
    <w:rsid w:val="4D3F6B37"/>
    <w:rsid w:val="4D626ED4"/>
    <w:rsid w:val="4E1F4272"/>
    <w:rsid w:val="4EF456FF"/>
    <w:rsid w:val="4F2953A8"/>
    <w:rsid w:val="4F6A5955"/>
    <w:rsid w:val="4FA233AD"/>
    <w:rsid w:val="50CC248F"/>
    <w:rsid w:val="51143E36"/>
    <w:rsid w:val="516721B8"/>
    <w:rsid w:val="51A056CA"/>
    <w:rsid w:val="545F12DA"/>
    <w:rsid w:val="54E63D3C"/>
    <w:rsid w:val="55457F4A"/>
    <w:rsid w:val="55837D4F"/>
    <w:rsid w:val="562F0A7F"/>
    <w:rsid w:val="56414B0E"/>
    <w:rsid w:val="566B44F9"/>
    <w:rsid w:val="56DE116E"/>
    <w:rsid w:val="571E156B"/>
    <w:rsid w:val="579730CB"/>
    <w:rsid w:val="57BD6FD6"/>
    <w:rsid w:val="57E26993"/>
    <w:rsid w:val="58411B59"/>
    <w:rsid w:val="58E40592"/>
    <w:rsid w:val="592D3CE7"/>
    <w:rsid w:val="59B44408"/>
    <w:rsid w:val="5C2752F2"/>
    <w:rsid w:val="5C583771"/>
    <w:rsid w:val="5C6C4246"/>
    <w:rsid w:val="5DE76B45"/>
    <w:rsid w:val="5E9465B6"/>
    <w:rsid w:val="5EBD78BB"/>
    <w:rsid w:val="610C2B17"/>
    <w:rsid w:val="620178CE"/>
    <w:rsid w:val="62145A44"/>
    <w:rsid w:val="62916D12"/>
    <w:rsid w:val="63181564"/>
    <w:rsid w:val="634265E1"/>
    <w:rsid w:val="642B176B"/>
    <w:rsid w:val="64B96D77"/>
    <w:rsid w:val="661001E2"/>
    <w:rsid w:val="662B4B98"/>
    <w:rsid w:val="66320B8F"/>
    <w:rsid w:val="66DC0AFB"/>
    <w:rsid w:val="67D04B25"/>
    <w:rsid w:val="682E182A"/>
    <w:rsid w:val="68F4037D"/>
    <w:rsid w:val="6A42336B"/>
    <w:rsid w:val="6C3F5AA0"/>
    <w:rsid w:val="6C5D448C"/>
    <w:rsid w:val="6CB06CB1"/>
    <w:rsid w:val="6D8F4B19"/>
    <w:rsid w:val="6F993A2D"/>
    <w:rsid w:val="6FCF744E"/>
    <w:rsid w:val="70A1703D"/>
    <w:rsid w:val="70F829D5"/>
    <w:rsid w:val="71022CB5"/>
    <w:rsid w:val="721056AE"/>
    <w:rsid w:val="721101F2"/>
    <w:rsid w:val="72E444E7"/>
    <w:rsid w:val="73557ED4"/>
    <w:rsid w:val="73E57241"/>
    <w:rsid w:val="74343D24"/>
    <w:rsid w:val="744D3038"/>
    <w:rsid w:val="7456238C"/>
    <w:rsid w:val="74744A68"/>
    <w:rsid w:val="771A5453"/>
    <w:rsid w:val="77440722"/>
    <w:rsid w:val="77BE6726"/>
    <w:rsid w:val="77C17FC5"/>
    <w:rsid w:val="78A31478"/>
    <w:rsid w:val="78CC4E73"/>
    <w:rsid w:val="78DD2BDC"/>
    <w:rsid w:val="79142376"/>
    <w:rsid w:val="79264618"/>
    <w:rsid w:val="795D5ACB"/>
    <w:rsid w:val="79AD749A"/>
    <w:rsid w:val="79D044EF"/>
    <w:rsid w:val="7ADB314B"/>
    <w:rsid w:val="7AE77D42"/>
    <w:rsid w:val="7BFB64B0"/>
    <w:rsid w:val="7C825254"/>
    <w:rsid w:val="7C9275E1"/>
    <w:rsid w:val="7D180687"/>
    <w:rsid w:val="7DCE7921"/>
    <w:rsid w:val="7DD50326"/>
    <w:rsid w:val="7FCB60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autoRedefine/>
    <w:qFormat/>
    <w:uiPriority w:val="0"/>
    <w:pPr>
      <w:keepNext/>
      <w:keepLines/>
      <w:spacing w:beforeLines="0" w:beforeAutospacing="0" w:afterLines="0" w:afterAutospacing="0" w:line="360" w:lineRule="auto"/>
      <w:jc w:val="center"/>
      <w:outlineLvl w:val="0"/>
    </w:pPr>
    <w:rPr>
      <w:b/>
      <w:kern w:val="44"/>
      <w:sz w:val="28"/>
      <w:szCs w:val="28"/>
    </w:rPr>
  </w:style>
  <w:style w:type="character" w:default="1" w:styleId="9">
    <w:name w:val="Default Paragraph Font"/>
    <w:autoRedefine/>
    <w:semiHidden/>
    <w:qFormat/>
    <w:uiPriority w:val="0"/>
  </w:style>
  <w:style w:type="table" w:default="1" w:styleId="8">
    <w:name w:val="Normal Table"/>
    <w:autoRedefine/>
    <w:semiHidden/>
    <w:qFormat/>
    <w:uiPriority w:val="0"/>
    <w:tblPr>
      <w:tblCellMar>
        <w:top w:w="0" w:type="dxa"/>
        <w:left w:w="108" w:type="dxa"/>
        <w:bottom w:w="0" w:type="dxa"/>
        <w:right w:w="108" w:type="dxa"/>
      </w:tblCellMar>
    </w:tblPr>
  </w:style>
  <w:style w:type="paragraph" w:styleId="2">
    <w:name w:val="Body Text"/>
    <w:basedOn w:val="1"/>
    <w:next w:val="1"/>
    <w:autoRedefine/>
    <w:qFormat/>
    <w:uiPriority w:val="0"/>
    <w:pPr>
      <w:widowControl w:val="0"/>
      <w:spacing w:after="120" w:line="360" w:lineRule="auto"/>
      <w:ind w:firstLine="200" w:firstLineChars="200"/>
      <w:jc w:val="both"/>
    </w:pPr>
    <w:rPr>
      <w:rFonts w:ascii="Times New Roman" w:hAnsi="Times New Roman" w:eastAsia="宋体" w:cs="Times New Roman"/>
      <w:kern w:val="2"/>
      <w:sz w:val="24"/>
      <w:szCs w:val="24"/>
      <w:lang w:val="en-US" w:eastAsia="zh-CN" w:bidi="ar-SA"/>
    </w:rPr>
  </w:style>
  <w:style w:type="paragraph" w:styleId="4">
    <w:name w:val="table of authorities"/>
    <w:basedOn w:val="1"/>
    <w:next w:val="1"/>
    <w:autoRedefine/>
    <w:unhideWhenUsed/>
    <w:qFormat/>
    <w:uiPriority w:val="99"/>
    <w:pPr>
      <w:ind w:left="420" w:leftChars="200"/>
    </w:pPr>
  </w:style>
  <w:style w:type="paragraph" w:styleId="5">
    <w:name w:val="Plain Text"/>
    <w:basedOn w:val="1"/>
    <w:autoRedefine/>
    <w:qFormat/>
    <w:uiPriority w:val="0"/>
    <w:rPr>
      <w:rFonts w:ascii="宋体" w:hAnsi="Courier New"/>
    </w:rPr>
  </w:style>
  <w:style w:type="paragraph" w:styleId="6">
    <w:name w:val="footer"/>
    <w:basedOn w:val="1"/>
    <w:autoRedefine/>
    <w:unhideWhenUsed/>
    <w:qFormat/>
    <w:uiPriority w:val="99"/>
    <w:pPr>
      <w:tabs>
        <w:tab w:val="center" w:pos="4153"/>
        <w:tab w:val="right" w:pos="8306"/>
      </w:tabs>
      <w:snapToGrid w:val="0"/>
      <w:jc w:val="left"/>
    </w:pPr>
    <w:rPr>
      <w:sz w:val="18"/>
      <w:szCs w:val="18"/>
    </w:rPr>
  </w:style>
  <w:style w:type="paragraph" w:styleId="7">
    <w:name w:val="header"/>
    <w:basedOn w:val="1"/>
    <w:autoRedefine/>
    <w:unhideWhenUsed/>
    <w:qFormat/>
    <w:uiPriority w:val="99"/>
    <w:pPr>
      <w:pBdr>
        <w:bottom w:val="single" w:color="auto" w:sz="6" w:space="1"/>
      </w:pBdr>
      <w:tabs>
        <w:tab w:val="center" w:pos="4153"/>
        <w:tab w:val="right" w:pos="8306"/>
      </w:tabs>
      <w:snapToGrid w:val="0"/>
      <w:jc w:val="center"/>
    </w:pPr>
    <w:rPr>
      <w:sz w:val="18"/>
      <w:szCs w:val="18"/>
    </w:rPr>
  </w:style>
  <w:style w:type="character" w:styleId="10">
    <w:name w:val="page number"/>
    <w:basedOn w:val="9"/>
    <w:autoRedefine/>
    <w:qFormat/>
    <w:uiPriority w:val="0"/>
  </w:style>
  <w:style w:type="paragraph" w:customStyle="1" w:styleId="11">
    <w:name w:val="_Style 1"/>
    <w:basedOn w:val="1"/>
    <w:autoRedefine/>
    <w:qFormat/>
    <w:uiPriority w:val="0"/>
    <w:pPr>
      <w:spacing w:line="481" w:lineRule="atLeast"/>
      <w:ind w:firstLine="623"/>
      <w:textAlignment w:val="baseline"/>
    </w:pPr>
    <w:rPr>
      <w:rFonts w:ascii="Times New Roman" w:hAnsi="Times New Roman" w:eastAsia="仿宋_GB2312"/>
      <w:color w:val="000000"/>
      <w:sz w:val="3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674</Words>
  <Characters>775</Characters>
  <Lines>0</Lines>
  <Paragraphs>0</Paragraphs>
  <TotalTime>35</TotalTime>
  <ScaleCrop>false</ScaleCrop>
  <LinksUpToDate>false</LinksUpToDate>
  <CharactersWithSpaces>789</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2023-06-20T08:34:00Z</dcterms:created>
  <dc:creator>Administrator</dc:creator>
  <cp:lastModifiedBy>。</cp:lastModifiedBy>
  <dcterms:modified xsi:type="dcterms:W3CDTF">2024-03-21T03:52:50Z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379328F4B0A6450790D5670E54EB03E3_13</vt:lpwstr>
  </property>
</Properties>
</file>