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jc w:val="left"/>
        <w:rPr>
          <w:rFonts w:hint="eastAsia" w:ascii="仿宋" w:hAnsi="仿宋" w:eastAsia="仿宋" w:cs="仿宋"/>
          <w:sz w:val="32"/>
          <w:szCs w:val="32"/>
        </w:rPr>
      </w:pPr>
      <w:r>
        <w:rPr>
          <w:rFonts w:hint="eastAsia" w:ascii="仿宋" w:hAnsi="仿宋" w:eastAsia="仿宋" w:cs="仿宋"/>
          <w:sz w:val="32"/>
          <w:szCs w:val="32"/>
        </w:rPr>
        <w:t>附件2：</w:t>
      </w:r>
    </w:p>
    <w:p>
      <w:pPr>
        <w:spacing w:line="400" w:lineRule="exact"/>
        <w:jc w:val="center"/>
        <w:rPr>
          <w:rFonts w:hint="eastAsia" w:ascii="仿宋" w:hAnsi="仿宋" w:eastAsia="仿宋" w:cs="仿宋"/>
          <w:b/>
          <w:bCs/>
          <w:sz w:val="32"/>
          <w:szCs w:val="32"/>
        </w:rPr>
      </w:pPr>
      <w:bookmarkStart w:id="0" w:name="_GoBack"/>
      <w:r>
        <w:rPr>
          <w:rFonts w:hint="eastAsia" w:ascii="仿宋" w:hAnsi="仿宋" w:eastAsia="仿宋" w:cs="仿宋"/>
          <w:b/>
          <w:bCs/>
          <w:sz w:val="32"/>
          <w:szCs w:val="32"/>
        </w:rPr>
        <w:t>2022年南县中鱼口镇常西完小田径运动场建设</w:t>
      </w:r>
    </w:p>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及南县浪拨湖镇中学田径运动场建设项目</w:t>
      </w:r>
    </w:p>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基本情况表</w:t>
      </w:r>
    </w:p>
    <w:bookmarkEnd w:id="0"/>
    <w:p>
      <w:pPr>
        <w:spacing w:line="400" w:lineRule="exact"/>
        <w:jc w:val="right"/>
        <w:rPr>
          <w:rFonts w:hint="eastAsia" w:ascii="仿宋" w:hAnsi="仿宋" w:eastAsia="仿宋" w:cs="仿宋"/>
          <w:sz w:val="28"/>
          <w:szCs w:val="28"/>
        </w:rPr>
      </w:pPr>
      <w:r>
        <w:rPr>
          <w:rFonts w:hint="eastAsia" w:ascii="仿宋" w:hAnsi="仿宋" w:eastAsia="仿宋" w:cs="仿宋"/>
          <w:sz w:val="28"/>
          <w:szCs w:val="28"/>
        </w:rPr>
        <w:t xml:space="preserve">                                 </w:t>
      </w:r>
    </w:p>
    <w:p>
      <w:pPr>
        <w:spacing w:line="400" w:lineRule="exact"/>
        <w:jc w:val="right"/>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24"/>
          <w:szCs w:val="24"/>
        </w:rPr>
        <w:t>填报日期：2023年7月10日</w:t>
      </w:r>
    </w:p>
    <w:tbl>
      <w:tblPr>
        <w:tblStyle w:val="4"/>
        <w:tblpPr w:leftFromText="180" w:rightFromText="180" w:vertAnchor="text" w:horzAnchor="page" w:tblpX="1220" w:tblpY="700"/>
        <w:tblOverlap w:val="never"/>
        <w:tblW w:w="0" w:type="auto"/>
        <w:tblInd w:w="0" w:type="dxa"/>
        <w:tblLayout w:type="fixed"/>
        <w:tblCellMar>
          <w:top w:w="0" w:type="dxa"/>
          <w:left w:w="108" w:type="dxa"/>
          <w:bottom w:w="0" w:type="dxa"/>
          <w:right w:w="108" w:type="dxa"/>
        </w:tblCellMar>
      </w:tblPr>
      <w:tblGrid>
        <w:gridCol w:w="676"/>
        <w:gridCol w:w="1729"/>
        <w:gridCol w:w="2593"/>
        <w:gridCol w:w="2104"/>
        <w:gridCol w:w="2852"/>
      </w:tblGrid>
      <w:tr>
        <w:tblPrEx>
          <w:tblCellMar>
            <w:top w:w="0" w:type="dxa"/>
            <w:left w:w="108" w:type="dxa"/>
            <w:bottom w:w="0" w:type="dxa"/>
            <w:right w:w="108" w:type="dxa"/>
          </w:tblCellMar>
        </w:tblPrEx>
        <w:trPr>
          <w:trHeight w:val="487" w:hRule="atLeast"/>
        </w:trPr>
        <w:tc>
          <w:tcPr>
            <w:tcW w:w="676" w:type="dxa"/>
            <w:vMerge w:val="restart"/>
            <w:tcBorders>
              <w:top w:val="single" w:color="auto" w:sz="8" w:space="0"/>
              <w:left w:val="single" w:color="auto" w:sz="4" w:space="0"/>
              <w:bottom w:val="nil"/>
              <w:right w:val="single" w:color="000000" w:sz="8" w:space="0"/>
            </w:tcBorders>
            <w:noWrap w:val="0"/>
            <w:textDirection w:val="tbRlV"/>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项目基本情况</w:t>
            </w:r>
          </w:p>
        </w:tc>
        <w:tc>
          <w:tcPr>
            <w:tcW w:w="1729"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项目名称</w:t>
            </w:r>
          </w:p>
        </w:tc>
        <w:tc>
          <w:tcPr>
            <w:tcW w:w="7549"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常西完小田径运动场建设、南县浪拔湖镇中学田径运动场</w:t>
            </w:r>
          </w:p>
        </w:tc>
      </w:tr>
      <w:tr>
        <w:tblPrEx>
          <w:tblCellMar>
            <w:top w:w="0" w:type="dxa"/>
            <w:left w:w="108" w:type="dxa"/>
            <w:bottom w:w="0" w:type="dxa"/>
            <w:right w:w="108" w:type="dxa"/>
          </w:tblCellMar>
        </w:tblPrEx>
        <w:trPr>
          <w:trHeight w:val="480" w:hRule="atLeast"/>
        </w:trPr>
        <w:tc>
          <w:tcPr>
            <w:tcW w:w="676" w:type="dxa"/>
            <w:vMerge w:val="continue"/>
            <w:tcBorders>
              <w:top w:val="single" w:color="auto" w:sz="8" w:space="0"/>
              <w:left w:val="single" w:color="auto" w:sz="4" w:space="0"/>
              <w:bottom w:val="nil"/>
              <w:right w:val="single" w:color="000000" w:sz="8" w:space="0"/>
            </w:tcBorders>
            <w:noWrap w:val="0"/>
            <w:vAlign w:val="center"/>
          </w:tcPr>
          <w:p>
            <w:pPr>
              <w:widowControl/>
              <w:jc w:val="center"/>
              <w:rPr>
                <w:rFonts w:hint="eastAsia" w:ascii="仿宋" w:hAnsi="仿宋" w:eastAsia="仿宋" w:cs="仿宋"/>
                <w:color w:val="000000"/>
                <w:kern w:val="0"/>
                <w:sz w:val="24"/>
                <w:szCs w:val="24"/>
              </w:rPr>
            </w:pPr>
          </w:p>
        </w:tc>
        <w:tc>
          <w:tcPr>
            <w:tcW w:w="1729"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项目内容</w:t>
            </w:r>
          </w:p>
        </w:tc>
        <w:tc>
          <w:tcPr>
            <w:tcW w:w="7549"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南县中鱼口镇常西完小田径运动场建设项目及南县浪拔湖镇中学田径运动场建设项目</w:t>
            </w:r>
          </w:p>
        </w:tc>
      </w:tr>
      <w:tr>
        <w:tblPrEx>
          <w:tblCellMar>
            <w:top w:w="0" w:type="dxa"/>
            <w:left w:w="108" w:type="dxa"/>
            <w:bottom w:w="0" w:type="dxa"/>
            <w:right w:w="108" w:type="dxa"/>
          </w:tblCellMar>
        </w:tblPrEx>
        <w:trPr>
          <w:trHeight w:val="495" w:hRule="atLeast"/>
        </w:trPr>
        <w:tc>
          <w:tcPr>
            <w:tcW w:w="676" w:type="dxa"/>
            <w:vMerge w:val="continue"/>
            <w:tcBorders>
              <w:top w:val="single" w:color="auto" w:sz="8" w:space="0"/>
              <w:left w:val="single" w:color="auto" w:sz="4" w:space="0"/>
              <w:bottom w:val="nil"/>
              <w:right w:val="single" w:color="000000" w:sz="8" w:space="0"/>
            </w:tcBorders>
            <w:noWrap w:val="0"/>
            <w:vAlign w:val="center"/>
          </w:tcPr>
          <w:p>
            <w:pPr>
              <w:widowControl/>
              <w:jc w:val="center"/>
              <w:rPr>
                <w:rFonts w:hint="eastAsia" w:ascii="仿宋" w:hAnsi="仿宋" w:eastAsia="仿宋" w:cs="仿宋"/>
                <w:color w:val="000000"/>
                <w:kern w:val="0"/>
                <w:sz w:val="24"/>
                <w:szCs w:val="24"/>
              </w:rPr>
            </w:pPr>
          </w:p>
        </w:tc>
        <w:tc>
          <w:tcPr>
            <w:tcW w:w="1729"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项目单位</w:t>
            </w:r>
          </w:p>
        </w:tc>
        <w:tc>
          <w:tcPr>
            <w:tcW w:w="2593"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南县教育局</w:t>
            </w:r>
          </w:p>
        </w:tc>
        <w:tc>
          <w:tcPr>
            <w:tcW w:w="2104" w:type="dxa"/>
            <w:tcBorders>
              <w:top w:val="single" w:color="auto" w:sz="8" w:space="0"/>
              <w:left w:val="nil"/>
              <w:bottom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项目主管部门</w:t>
            </w:r>
          </w:p>
        </w:tc>
        <w:tc>
          <w:tcPr>
            <w:tcW w:w="2852" w:type="dxa"/>
            <w:tcBorders>
              <w:top w:val="single" w:color="auto" w:sz="8" w:space="0"/>
              <w:left w:val="nil"/>
              <w:bottom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科教文化股</w:t>
            </w:r>
          </w:p>
        </w:tc>
      </w:tr>
      <w:tr>
        <w:tblPrEx>
          <w:tblCellMar>
            <w:top w:w="0" w:type="dxa"/>
            <w:left w:w="108" w:type="dxa"/>
            <w:bottom w:w="0" w:type="dxa"/>
            <w:right w:w="108" w:type="dxa"/>
          </w:tblCellMar>
        </w:tblPrEx>
        <w:trPr>
          <w:trHeight w:val="550" w:hRule="atLeast"/>
        </w:trPr>
        <w:tc>
          <w:tcPr>
            <w:tcW w:w="676" w:type="dxa"/>
            <w:vMerge w:val="continue"/>
            <w:tcBorders>
              <w:top w:val="single" w:color="auto" w:sz="8" w:space="0"/>
              <w:left w:val="single" w:color="auto" w:sz="4" w:space="0"/>
              <w:bottom w:val="nil"/>
              <w:right w:val="single" w:color="000000" w:sz="8" w:space="0"/>
            </w:tcBorders>
            <w:noWrap w:val="0"/>
            <w:vAlign w:val="center"/>
          </w:tcPr>
          <w:p>
            <w:pPr>
              <w:widowControl/>
              <w:jc w:val="center"/>
              <w:rPr>
                <w:rFonts w:hint="eastAsia" w:ascii="仿宋" w:hAnsi="仿宋" w:eastAsia="仿宋" w:cs="仿宋"/>
                <w:color w:val="000000"/>
                <w:kern w:val="0"/>
                <w:sz w:val="24"/>
                <w:szCs w:val="24"/>
              </w:rPr>
            </w:pPr>
          </w:p>
        </w:tc>
        <w:tc>
          <w:tcPr>
            <w:tcW w:w="1729"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项目属性</w:t>
            </w:r>
          </w:p>
        </w:tc>
        <w:tc>
          <w:tcPr>
            <w:tcW w:w="7549"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经常性       √一次性       √新增     延续</w:t>
            </w:r>
          </w:p>
        </w:tc>
      </w:tr>
      <w:tr>
        <w:tblPrEx>
          <w:tblCellMar>
            <w:top w:w="0" w:type="dxa"/>
            <w:left w:w="108" w:type="dxa"/>
            <w:bottom w:w="0" w:type="dxa"/>
            <w:right w:w="108" w:type="dxa"/>
          </w:tblCellMar>
        </w:tblPrEx>
        <w:trPr>
          <w:trHeight w:val="1146" w:hRule="atLeast"/>
        </w:trPr>
        <w:tc>
          <w:tcPr>
            <w:tcW w:w="676" w:type="dxa"/>
            <w:vMerge w:val="continue"/>
            <w:tcBorders>
              <w:top w:val="single" w:color="auto" w:sz="8" w:space="0"/>
              <w:left w:val="single" w:color="auto" w:sz="4" w:space="0"/>
              <w:bottom w:val="nil"/>
              <w:right w:val="single" w:color="000000" w:sz="8" w:space="0"/>
            </w:tcBorders>
            <w:noWrap w:val="0"/>
            <w:vAlign w:val="center"/>
          </w:tcPr>
          <w:p>
            <w:pPr>
              <w:widowControl/>
              <w:jc w:val="center"/>
              <w:rPr>
                <w:rFonts w:hint="eastAsia" w:ascii="仿宋" w:hAnsi="仿宋" w:eastAsia="仿宋" w:cs="仿宋"/>
                <w:color w:val="000000"/>
                <w:kern w:val="0"/>
                <w:sz w:val="24"/>
                <w:szCs w:val="24"/>
              </w:rPr>
            </w:pPr>
          </w:p>
        </w:tc>
        <w:tc>
          <w:tcPr>
            <w:tcW w:w="1729" w:type="dxa"/>
            <w:tcBorders>
              <w:top w:val="nil"/>
              <w:left w:val="single" w:color="auto" w:sz="8" w:space="0"/>
              <w:bottom w:val="single" w:color="000000"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立项依据</w:t>
            </w:r>
          </w:p>
        </w:tc>
        <w:tc>
          <w:tcPr>
            <w:tcW w:w="7549" w:type="dxa"/>
            <w:gridSpan w:val="3"/>
            <w:tcBorders>
              <w:top w:val="single" w:color="auto" w:sz="8" w:space="0"/>
              <w:left w:val="nil"/>
              <w:bottom w:val="single" w:color="auto" w:sz="8" w:space="0"/>
              <w:right w:val="single" w:color="000000" w:sz="8" w:space="0"/>
            </w:tcBorders>
            <w:noWrap w:val="0"/>
            <w:vAlign w:val="center"/>
          </w:tcPr>
          <w:p>
            <w:pPr>
              <w:widowControl/>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南发改审【2022】第95号文《关于南县中鱼口镇常西完小田径运动场建设项目可行性研究报告的批复》以及南发改审【2022】第96号文《关于南县浪拨湖镇中学田径运动场建设项目可行性研究报告的批复》</w:t>
            </w:r>
          </w:p>
        </w:tc>
      </w:tr>
      <w:tr>
        <w:tblPrEx>
          <w:tblCellMar>
            <w:top w:w="0" w:type="dxa"/>
            <w:left w:w="108" w:type="dxa"/>
            <w:bottom w:w="0" w:type="dxa"/>
            <w:right w:w="108" w:type="dxa"/>
          </w:tblCellMar>
        </w:tblPrEx>
        <w:trPr>
          <w:trHeight w:val="449" w:hRule="atLeast"/>
        </w:trPr>
        <w:tc>
          <w:tcPr>
            <w:tcW w:w="676" w:type="dxa"/>
            <w:vMerge w:val="continue"/>
            <w:tcBorders>
              <w:top w:val="single" w:color="auto" w:sz="8" w:space="0"/>
              <w:left w:val="single" w:color="auto" w:sz="4" w:space="0"/>
              <w:bottom w:val="nil"/>
              <w:right w:val="single" w:color="000000" w:sz="8" w:space="0"/>
            </w:tcBorders>
            <w:noWrap w:val="0"/>
            <w:vAlign w:val="center"/>
          </w:tcPr>
          <w:p>
            <w:pPr>
              <w:widowControl/>
              <w:jc w:val="center"/>
              <w:rPr>
                <w:rFonts w:hint="eastAsia" w:ascii="仿宋" w:hAnsi="仿宋" w:eastAsia="仿宋" w:cs="仿宋"/>
                <w:color w:val="000000"/>
                <w:kern w:val="0"/>
                <w:sz w:val="24"/>
                <w:szCs w:val="24"/>
              </w:rPr>
            </w:pPr>
          </w:p>
        </w:tc>
        <w:tc>
          <w:tcPr>
            <w:tcW w:w="1729" w:type="dxa"/>
            <w:tcBorders>
              <w:top w:val="nil"/>
              <w:left w:val="single" w:color="auto" w:sz="8" w:space="0"/>
              <w:bottom w:val="single" w:color="000000"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资金总额及构成</w:t>
            </w:r>
          </w:p>
        </w:tc>
        <w:tc>
          <w:tcPr>
            <w:tcW w:w="7549"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省级财政463</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万元</w:t>
            </w:r>
          </w:p>
        </w:tc>
      </w:tr>
      <w:tr>
        <w:tblPrEx>
          <w:tblCellMar>
            <w:top w:w="0" w:type="dxa"/>
            <w:left w:w="108" w:type="dxa"/>
            <w:bottom w:w="0" w:type="dxa"/>
            <w:right w:w="108" w:type="dxa"/>
          </w:tblCellMar>
        </w:tblPrEx>
        <w:trPr>
          <w:trHeight w:val="2523" w:hRule="atLeast"/>
        </w:trPr>
        <w:tc>
          <w:tcPr>
            <w:tcW w:w="676" w:type="dxa"/>
            <w:vMerge w:val="continue"/>
            <w:tcBorders>
              <w:top w:val="single" w:color="auto" w:sz="8" w:space="0"/>
              <w:left w:val="single" w:color="auto" w:sz="4" w:space="0"/>
              <w:bottom w:val="nil"/>
              <w:right w:val="single" w:color="000000" w:sz="8" w:space="0"/>
            </w:tcBorders>
            <w:noWrap w:val="0"/>
            <w:vAlign w:val="center"/>
          </w:tcPr>
          <w:p>
            <w:pPr>
              <w:widowControl/>
              <w:jc w:val="center"/>
              <w:rPr>
                <w:rFonts w:hint="eastAsia" w:ascii="仿宋" w:hAnsi="仿宋" w:eastAsia="仿宋" w:cs="仿宋"/>
                <w:color w:val="000000"/>
                <w:kern w:val="0"/>
                <w:sz w:val="24"/>
                <w:szCs w:val="24"/>
              </w:rPr>
            </w:pPr>
          </w:p>
        </w:tc>
        <w:tc>
          <w:tcPr>
            <w:tcW w:w="1729" w:type="dxa"/>
            <w:tcBorders>
              <w:top w:val="nil"/>
              <w:left w:val="single" w:color="auto" w:sz="8" w:space="0"/>
              <w:bottom w:val="single" w:color="000000"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资金分配情况</w:t>
            </w:r>
          </w:p>
        </w:tc>
        <w:tc>
          <w:tcPr>
            <w:tcW w:w="7549" w:type="dxa"/>
            <w:gridSpan w:val="3"/>
            <w:tcBorders>
              <w:top w:val="single" w:color="auto" w:sz="8" w:space="0"/>
              <w:left w:val="nil"/>
              <w:bottom w:val="single" w:color="auto" w:sz="8" w:space="0"/>
              <w:right w:val="single" w:color="000000" w:sz="8" w:space="0"/>
            </w:tcBorders>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1、南县中鱼口镇常西完小田径运动场建设项目186</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万元；</w:t>
            </w:r>
          </w:p>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2、南县浪拨湖镇中学田径运动场建设项目277</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万元；</w:t>
            </w:r>
          </w:p>
          <w:p>
            <w:pPr>
              <w:jc w:val="lef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806" w:hRule="atLeast"/>
        </w:trPr>
        <w:tc>
          <w:tcPr>
            <w:tcW w:w="676" w:type="dxa"/>
            <w:vMerge w:val="continue"/>
            <w:tcBorders>
              <w:top w:val="single" w:color="auto" w:sz="8" w:space="0"/>
              <w:left w:val="single" w:color="auto" w:sz="4" w:space="0"/>
              <w:bottom w:val="single" w:color="auto" w:sz="4" w:space="0"/>
              <w:right w:val="single" w:color="000000" w:sz="8" w:space="0"/>
            </w:tcBorders>
            <w:noWrap w:val="0"/>
            <w:vAlign w:val="center"/>
          </w:tcPr>
          <w:p>
            <w:pPr>
              <w:widowControl/>
              <w:jc w:val="center"/>
              <w:rPr>
                <w:rFonts w:hint="eastAsia" w:ascii="仿宋" w:hAnsi="仿宋" w:eastAsia="仿宋" w:cs="仿宋"/>
                <w:color w:val="000000"/>
                <w:kern w:val="0"/>
                <w:sz w:val="24"/>
                <w:szCs w:val="24"/>
              </w:rPr>
            </w:pPr>
          </w:p>
        </w:tc>
        <w:tc>
          <w:tcPr>
            <w:tcW w:w="1729" w:type="dxa"/>
            <w:tcBorders>
              <w:top w:val="nil"/>
              <w:left w:val="nil"/>
              <w:bottom w:val="single" w:color="auto" w:sz="4"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项目必要性、可行性及论证结论</w:t>
            </w:r>
          </w:p>
        </w:tc>
        <w:tc>
          <w:tcPr>
            <w:tcW w:w="7549" w:type="dxa"/>
            <w:gridSpan w:val="3"/>
            <w:tcBorders>
              <w:top w:val="single" w:color="auto" w:sz="8" w:space="0"/>
              <w:left w:val="nil"/>
              <w:bottom w:val="single" w:color="auto" w:sz="4" w:space="0"/>
              <w:right w:val="single" w:color="000000" w:sz="8" w:space="0"/>
            </w:tcBorders>
            <w:noWrap w:val="0"/>
            <w:vAlign w:val="center"/>
          </w:tcPr>
          <w:p>
            <w:pPr>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为解决田径运动场因年久失修所导致的学生安全及老旧煤渣跑道引起的环境污染问题；为解决田径运动场因年久失修所导致的学生安全及因无足球场而无法响应国家号召校园足球运动的问题。为进一步改善学生学习环境，促进学生德、智、体全面发展。</w:t>
            </w:r>
          </w:p>
        </w:tc>
      </w:tr>
      <w:tr>
        <w:tblPrEx>
          <w:tblCellMar>
            <w:top w:w="0" w:type="dxa"/>
            <w:left w:w="108" w:type="dxa"/>
            <w:bottom w:w="0" w:type="dxa"/>
            <w:right w:w="108" w:type="dxa"/>
          </w:tblCellMar>
        </w:tblPrEx>
        <w:trPr>
          <w:trHeight w:val="643" w:hRule="atLeast"/>
        </w:trPr>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项目起止时间</w:t>
            </w:r>
          </w:p>
        </w:tc>
        <w:tc>
          <w:tcPr>
            <w:tcW w:w="754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2022年8月起至2022年12月止</w:t>
            </w:r>
          </w:p>
        </w:tc>
      </w:tr>
    </w:tbl>
    <w:p>
      <w:pPr>
        <w:rPr>
          <w:rFonts w:hint="eastAsia" w:ascii="仿宋" w:hAnsi="仿宋" w:eastAsia="仿宋" w:cs="仿宋"/>
        </w:rPr>
      </w:pPr>
    </w:p>
    <w:p>
      <w:pPr>
        <w:spacing w:after="156" w:afterLines="50" w:line="400" w:lineRule="exact"/>
        <w:jc w:val="left"/>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ZjY1ZDQyOTZjZDkzYTc4MjE5N2MxZmUxOGI5MmEifQ=="/>
  </w:docVars>
  <w:rsids>
    <w:rsidRoot w:val="457024AE"/>
    <w:rsid w:val="4570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next w:val="1"/>
    <w:unhideWhenUsed/>
    <w:qFormat/>
    <w:uiPriority w:val="99"/>
    <w:pPr>
      <w:widowControl w:val="0"/>
      <w:ind w:left="1680"/>
      <w:jc w:val="both"/>
    </w:pPr>
    <w:rPr>
      <w:rFonts w:ascii="Times New Roman" w:hAnsi="Times New Roman" w:eastAsia="宋体" w:cs="Times New Roman"/>
      <w:kern w:val="2"/>
      <w:sz w:val="21"/>
      <w:lang w:val="en-US" w:eastAsia="zh-CN" w:bidi="ar-SA"/>
    </w:rPr>
  </w:style>
  <w:style w:type="paragraph" w:styleId="3">
    <w:name w:val="footer"/>
    <w:next w:val="2"/>
    <w:qFormat/>
    <w:uiPriority w:val="0"/>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2023-12-04T00:51:00Z</dcterms:created>
  <dc:creator>？</dc:creator>
  <cp:lastModifiedBy>？</cp:lastModifiedBy>
  <dcterms:modified xsi:type="dcterms:W3CDTF">2023-12-04T00:52:21Z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298A65BDAB8C4AC98BBA4FCCE5709BCE_11</vt:lpwstr>
  </property>
</Properties>
</file>