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行政处罚免于处罚清单</w:t>
      </w:r>
    </w:p>
    <w:bookmarkEnd w:id="0"/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836"/>
        <w:gridCol w:w="2116"/>
        <w:gridCol w:w="532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处罚事项名称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设定依据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免于处罚情形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1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学校以向学生推销或者变相推销商品、服务等方式谋取利益的行为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《中华人民共和国义务教育法》第五十六条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（一）违法行为轻微并及时改正，没有造成危害后果的;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（二）初次违法且危害后果轻微并及时改正的;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（三）当事人有证据足以证明没有主观过错的。法律、行政法规另有规定的，从其规定。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2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民办学校（实施学历教育、学前教育、自学考试助学及其他文化教育）发布虚假招生简章或者广告，骗取钱财的行为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《中华人民共和国民办教育促进法》第六十二条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（一）违法行为轻微并及时改正，没有造成危害后果的;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（二）初次违法且危害后果轻微并及时改正的;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（三）当事人有证据足以证明没有主观过错的。法律、行政法规另有规定的，从其规定。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3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幼儿园教育内容和方法违背幼儿教育规律，损害幼儿身心健康的行为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《幼儿园管理条例》第二十七条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（一）违法行为轻微并及时改正，没有造成危害后果的;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（二）初次违法且危害后果轻微并及时改正的;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（三）当事人有证据足以证明没有主观过错的。法律、行政法规另有规定的，从其规定。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36"/>
              </w:rPr>
              <w:t>4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幼儿园体罚或变相体罚幼儿的行为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《幼儿园管理条例》第二十八条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（一）违法行为轻微并及时改正，没有造成危害后果的;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（二）初次违法且危害后果轻微并及时改正的;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（三）当事人有证据足以证明没有主观过错的。法律、行政法规另有规定的，从其规定。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sz w:val="28"/>
                <w:szCs w:val="36"/>
              </w:rPr>
            </w:pPr>
            <w:r>
              <w:rPr>
                <w:rFonts w:ascii="Times New Roman" w:hAnsi="Times New Roman" w:eastAsia="宋体" w:cs="Times New Roman"/>
                <w:sz w:val="28"/>
                <w:szCs w:val="36"/>
              </w:rPr>
              <w:t>5</w:t>
            </w:r>
          </w:p>
        </w:tc>
        <w:tc>
          <w:tcPr>
            <w:tcW w:w="483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弄虚作假或以其他欺骗手段获得教师资格，品行不良、侮辱学生，影响恶劣的处罚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《教师资格条例》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（一）违法行为轻微并及时改正，没有造成危害后果的;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（二）初次违法且危害后果轻微并及时改正的;</w:t>
            </w:r>
          </w:p>
          <w:p>
            <w:pPr>
              <w:spacing w:line="250" w:lineRule="exact"/>
              <w:jc w:val="left"/>
              <w:rPr>
                <w:rFonts w:ascii="宋体" w:hAnsi="宋体" w:eastAsia="宋体" w:cs="Times New Roman"/>
                <w:color w:val="000000"/>
                <w:sz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</w:rPr>
              <w:t>（三）当事人有证据足以证明没有主观过错的。法律、行政法规另有规定的，从其规定。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ascii="宋体" w:hAnsi="宋体" w:eastAsia="宋体" w:cs="Times New Roman"/>
                <w:color w:val="00000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63DA367A"/>
    <w:rsid w:val="63D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2023-11-15T02:25:00Z</dcterms:created>
  <dc:creator>？</dc:creator>
  <cp:lastModifiedBy>？</cp:lastModifiedBy>
  <dcterms:modified xsi:type="dcterms:W3CDTF">2023-11-15T02:26:00Z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5423B48CC2824DE9A9B74A8845F2C05F_11</vt:lpwstr>
  </property>
</Properties>
</file>