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240" w:lineRule="exact"/>
        <w:ind w:left="9"/>
        <w:jc w:val="left"/>
        <w:textAlignment w:val="baseline"/>
        <w:rPr>
          <w:rFonts w:hint="eastAsia" w:ascii="黑体" w:hAnsi="黑体" w:eastAsia="黑体" w:cs="黑体"/>
          <w:spacing w:val="-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28"/>
          <w:szCs w:val="28"/>
          <w:lang w:val="en-US" w:eastAsia="zh-CN"/>
        </w:rPr>
        <w:t>附件1</w:t>
      </w:r>
    </w:p>
    <w:p>
      <w:pPr>
        <w:spacing w:before="104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30"/>
          <w:w w:val="92"/>
          <w:sz w:val="44"/>
          <w:szCs w:val="44"/>
        </w:rPr>
        <w:t>益阳市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4"/>
          <w:szCs w:val="44"/>
          <w:u w:val="single" w:color="auto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4"/>
          <w:szCs w:val="44"/>
          <w:u w:val="single" w:color="auto"/>
          <w:lang w:val="en-US" w:eastAsia="zh-CN"/>
        </w:rPr>
        <w:t>南县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4"/>
          <w:szCs w:val="44"/>
          <w:u w:val="single" w:color="auto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0"/>
          <w:w w:val="92"/>
          <w:sz w:val="44"/>
          <w:szCs w:val="44"/>
        </w:rPr>
        <w:t>一般湿地名录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0"/>
          <w:w w:val="92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0"/>
          <w:w w:val="92"/>
          <w:sz w:val="44"/>
          <w:szCs w:val="44"/>
        </w:rPr>
        <w:t>第一批）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0"/>
          <w:w w:val="92"/>
          <w:sz w:val="44"/>
          <w:szCs w:val="44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0"/>
          <w:w w:val="92"/>
          <w:sz w:val="44"/>
          <w:szCs w:val="44"/>
        </w:rPr>
        <w:t>信息表</w:t>
      </w:r>
      <w:bookmarkEnd w:id="0"/>
    </w:p>
    <w:p>
      <w:pPr>
        <w:spacing w:line="208" w:lineRule="exact"/>
        <w:jc w:val="center"/>
        <w:rPr>
          <w:rFonts w:ascii="Calibri" w:hAnsi="Calibri" w:eastAsia="宋体" w:cs="Times New Roman"/>
        </w:rPr>
      </w:pPr>
    </w:p>
    <w:tbl>
      <w:tblPr>
        <w:tblStyle w:val="4"/>
        <w:tblW w:w="14153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958"/>
        <w:gridCol w:w="917"/>
        <w:gridCol w:w="1132"/>
        <w:gridCol w:w="3677"/>
        <w:gridCol w:w="942"/>
        <w:gridCol w:w="747"/>
        <w:gridCol w:w="855"/>
        <w:gridCol w:w="915"/>
        <w:gridCol w:w="720"/>
        <w:gridCol w:w="540"/>
        <w:gridCol w:w="750"/>
        <w:gridCol w:w="72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湿地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917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行政区域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before="62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详细地点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(乡村小地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)</w:t>
            </w:r>
          </w:p>
        </w:tc>
        <w:tc>
          <w:tcPr>
            <w:tcW w:w="3677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地理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坐标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spacing w:before="203" w:line="240" w:lineRule="auto"/>
              <w:ind w:left="48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面积(公顷)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湿地类型</w:t>
            </w:r>
          </w:p>
        </w:tc>
        <w:tc>
          <w:tcPr>
            <w:tcW w:w="91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保护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主要保护对象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主体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1"/>
                <w:szCs w:val="21"/>
              </w:rPr>
              <w:t>部门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管理</w:t>
            </w:r>
          </w:p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确认</w:t>
            </w:r>
          </w:p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before="121" w:line="20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总面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积</w:t>
            </w:r>
          </w:p>
        </w:tc>
        <w:tc>
          <w:tcPr>
            <w:tcW w:w="747" w:type="dxa"/>
            <w:vAlign w:val="center"/>
          </w:tcPr>
          <w:p>
            <w:pPr>
              <w:spacing w:before="126" w:line="188" w:lineRule="auto"/>
              <w:ind w:left="292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湿地</w:t>
            </w:r>
          </w:p>
          <w:p>
            <w:pPr>
              <w:spacing w:line="220" w:lineRule="auto"/>
              <w:ind w:left="292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面积</w:t>
            </w:r>
          </w:p>
        </w:tc>
        <w:tc>
          <w:tcPr>
            <w:tcW w:w="85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南县达丰洲湿地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南县武圣宫镇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达丰洲</w:t>
            </w:r>
          </w:p>
        </w:tc>
        <w:tc>
          <w:tcPr>
            <w:tcW w:w="36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北：112°13′15E    29°16′17N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南：112°13′43E    29°15′10N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西：112°13′11E    29°15′53N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东：112°13′29E    29°15′54N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76.02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76.02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生态红线内湿地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国家湿地公园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湿地生态系统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南县人民政府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南县林业局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湖南南洲国家湿地公园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南县年丰洲湿地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南县武圣宫镇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年丰洲</w:t>
            </w:r>
          </w:p>
        </w:tc>
        <w:tc>
          <w:tcPr>
            <w:tcW w:w="36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北：112°13′28E    29°15′110N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南：112°13′47E    29°13′4N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西：112°13′24E    29°14′17N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东：112°14′22E    29°14′11N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333.39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333.39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生态红线内湿地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国家湿地公园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湿地生态系统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南县人民政府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南县林业局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湖南南洲国家湿地公园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24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17"/>
          <w:sz w:val="21"/>
          <w:szCs w:val="21"/>
        </w:rPr>
        <w:t>填写说明：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4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12"/>
          <w:position w:val="4"/>
          <w:sz w:val="21"/>
          <w:szCs w:val="21"/>
        </w:rPr>
        <w:t>1.湿地名称：符合《湖南省省级重要湿地和一般湿地认定管理办法》命名方法，即：县市区名+湿地名+湿地。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9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12"/>
          <w:sz w:val="21"/>
          <w:szCs w:val="21"/>
        </w:rPr>
        <w:t>2.行政区域：填写湿地所在的县市区、乡镇、村。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40" w:lineRule="exact"/>
        <w:ind w:left="9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12"/>
          <w:position w:val="4"/>
          <w:sz w:val="21"/>
          <w:szCs w:val="21"/>
        </w:rPr>
        <w:t>3.地理坐标：(指一般湿地所跨的经纬度范围，以度分秒形式表示，取整数)。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exact"/>
        <w:ind w:left="9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14"/>
          <w:sz w:val="21"/>
          <w:szCs w:val="21"/>
        </w:rPr>
        <w:t>4.面积：以公顷为单位，保留两位小数。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exact"/>
        <w:ind w:left="9" w:right="240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11"/>
          <w:sz w:val="21"/>
          <w:szCs w:val="21"/>
        </w:rPr>
        <w:t>5.湿地类型：湿地类型按《中华人民共和国国家标准：湿地分类</w:t>
      </w:r>
      <w:r>
        <w:rPr>
          <w:rFonts w:hint="eastAsia" w:ascii="方正仿宋_GBK" w:hAnsi="方正仿宋_GBK" w:eastAsia="方正仿宋_GBK" w:cs="方正仿宋_GBK"/>
          <w:spacing w:val="45"/>
          <w:sz w:val="21"/>
          <w:szCs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1"/>
          <w:szCs w:val="21"/>
        </w:rPr>
        <w:t>(GB/T24708)》的有关规定进行划分；第三次全国国土调查结果公布后，根据调查结果确定湿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</w:rPr>
        <w:t>地分类),具体可参考本文件附表2的湿地类型。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exact"/>
        <w:ind w:left="9" w:right="238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8"/>
          <w:sz w:val="21"/>
          <w:szCs w:val="21"/>
        </w:rPr>
        <w:t>6.保护方式(保护类型):已有国家公园、自然保护区、湿地公园及其他自然公园、风景名胜区等保护方式；划入生态红线的填生态红线，水源保护区的填水源</w:t>
      </w:r>
      <w:r>
        <w:rPr>
          <w:rFonts w:hint="eastAsia" w:ascii="方正仿宋_GBK" w:hAnsi="方正仿宋_GBK" w:eastAsia="方正仿宋_GBK" w:cs="方正仿宋_GBK"/>
          <w:spacing w:val="8"/>
          <w:sz w:val="21"/>
          <w:szCs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21"/>
          <w:szCs w:val="21"/>
        </w:rPr>
        <w:t>保护区(划入生态红线的还填上生态红线),无保护方式的填无。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exact"/>
        <w:ind w:left="9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15"/>
          <w:sz w:val="21"/>
          <w:szCs w:val="21"/>
        </w:rPr>
        <w:t>7.主要保护对象：主要保护的对象。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240" w:lineRule="exact"/>
        <w:ind w:left="9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21"/>
          <w:szCs w:val="21"/>
        </w:rPr>
        <w:t>8.责任主体：县市区人民政府、乡镇人民政府</w:t>
      </w:r>
      <w:r>
        <w:rPr>
          <w:rFonts w:hint="eastAsia" w:ascii="方正仿宋_GBK" w:hAnsi="方正仿宋_GBK" w:eastAsia="方正仿宋_GBK" w:cs="方正仿宋_GBK"/>
          <w:spacing w:val="-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exact"/>
        <w:ind w:left="9"/>
        <w:jc w:val="left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-13"/>
          <w:sz w:val="21"/>
          <w:szCs w:val="21"/>
        </w:rPr>
        <w:t>9.管理单位：湿地管理单位是指经湿地主管部门授权，履行湿地保护和管理职能的单位。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240" w:lineRule="exact"/>
        <w:ind w:left="9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06" w:right="1327" w:bottom="1463" w:left="132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pacing w:val="-12"/>
          <w:sz w:val="21"/>
          <w:szCs w:val="21"/>
        </w:rPr>
        <w:t>10.确认依据：指符合《湖南省省级重要湿地和一般湿地认定管理办法》第四条指出的标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178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2023-11-07T08:25:17Z</dcterms:created>
  <dc:creator>Administrator</dc:creator>
  <cp:lastModifiedBy>亦湛蓝</cp:lastModifiedBy>
  <dcterms:modified xsi:type="dcterms:W3CDTF">2023-11-07T08:25:33Z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2460D7A0F7A54C39BD840D00BC4355D2_12</vt:lpwstr>
  </property>
</Properties>
</file>