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before="157" w:beforeLines="50" w:after="313" w:afterLines="100" w:line="560" w:lineRule="exact"/>
        <w:jc w:val="center"/>
        <w:textAlignment w:val="auto"/>
        <w:rPr>
          <w:rFonts w:hint="default" w:ascii="仿宋_GB2312" w:hAnsi="仿宋_GB2312" w:eastAsia="仿宋_GB2312" w:cs="仿宋_GB2312"/>
          <w:color w:val="auto"/>
          <w:sz w:val="36"/>
          <w:szCs w:val="36"/>
          <w:lang w:val="en-US" w:eastAsia="zh-CN"/>
        </w:rPr>
      </w:pPr>
      <w:bookmarkStart w:id="0" w:name="_GoBack"/>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南县</w:t>
      </w:r>
      <w:r>
        <w:rPr>
          <w:rFonts w:hint="eastAsia" w:ascii="方正小标宋简体" w:hAnsi="方正小标宋简体" w:eastAsia="方正小标宋简体" w:cs="方正小标宋简体"/>
          <w:b w:val="0"/>
          <w:bCs w:val="0"/>
          <w:sz w:val="36"/>
          <w:szCs w:val="36"/>
          <w:lang w:val="en-US" w:eastAsia="zh-CN"/>
        </w:rPr>
        <w:t>学前教育共同体</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建设</w:t>
      </w: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对象园</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考评办法</w:t>
      </w:r>
    </w:p>
    <w:bookmarkEnd w:id="0"/>
    <w:tbl>
      <w:tblPr>
        <w:tblStyle w:val="5"/>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8"/>
        <w:gridCol w:w="1185"/>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98" w:type="dxa"/>
            <w:vAlign w:val="center"/>
          </w:tcPr>
          <w:p>
            <w:pPr>
              <w:pStyle w:val="3"/>
              <w:spacing w:line="380" w:lineRule="exact"/>
              <w:jc w:val="center"/>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项目</w:t>
            </w:r>
          </w:p>
        </w:tc>
        <w:tc>
          <w:tcPr>
            <w:tcW w:w="1185" w:type="dxa"/>
            <w:vAlign w:val="center"/>
          </w:tcPr>
          <w:p>
            <w:pPr>
              <w:pStyle w:val="3"/>
              <w:spacing w:line="380" w:lineRule="exact"/>
              <w:jc w:val="center"/>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权重</w:t>
            </w:r>
          </w:p>
        </w:tc>
        <w:tc>
          <w:tcPr>
            <w:tcW w:w="6395" w:type="dxa"/>
            <w:vAlign w:val="center"/>
          </w:tcPr>
          <w:p>
            <w:pPr>
              <w:pStyle w:val="3"/>
              <w:spacing w:line="380" w:lineRule="exact"/>
              <w:jc w:val="center"/>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考评内容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598" w:type="dxa"/>
            <w:vAlign w:val="center"/>
          </w:tcPr>
          <w:p>
            <w:pPr>
              <w:pStyle w:val="3"/>
              <w:spacing w:line="38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思想动员</w:t>
            </w:r>
          </w:p>
        </w:tc>
        <w:tc>
          <w:tcPr>
            <w:tcW w:w="1185" w:type="dxa"/>
            <w:vAlign w:val="center"/>
          </w:tcPr>
          <w:p>
            <w:pPr>
              <w:pStyle w:val="3"/>
              <w:spacing w:line="38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10分</w:t>
            </w:r>
          </w:p>
        </w:tc>
        <w:tc>
          <w:tcPr>
            <w:tcW w:w="6395" w:type="dxa"/>
            <w:vAlign w:val="center"/>
          </w:tcPr>
          <w:p>
            <w:pPr>
              <w:pStyle w:val="3"/>
              <w:spacing w:line="38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共同体</w:t>
            </w:r>
            <w:r>
              <w:rPr>
                <w:rFonts w:hint="eastAsia" w:ascii="仿宋" w:hAnsi="仿宋" w:eastAsia="仿宋"/>
                <w:color w:val="000000" w:themeColor="text1"/>
                <w:sz w:val="24"/>
                <w:szCs w:val="24"/>
                <w:lang w:eastAsia="zh-CN"/>
                <w14:textFill>
                  <w14:solidFill>
                    <w14:schemeClr w14:val="tx1"/>
                  </w14:solidFill>
                </w14:textFill>
              </w:rPr>
              <w:t>对象园及所属片区中心校要分别</w:t>
            </w:r>
            <w:r>
              <w:rPr>
                <w:rFonts w:hint="eastAsia" w:ascii="仿宋" w:hAnsi="仿宋" w:eastAsia="仿宋"/>
                <w:color w:val="000000" w:themeColor="text1"/>
                <w:sz w:val="24"/>
                <w:szCs w:val="24"/>
                <w14:textFill>
                  <w14:solidFill>
                    <w14:schemeClr w14:val="tx1"/>
                  </w14:solidFill>
                </w14:textFill>
              </w:rPr>
              <w:t>召开</w:t>
            </w:r>
            <w:r>
              <w:rPr>
                <w:rFonts w:hint="eastAsia" w:ascii="仿宋" w:hAnsi="仿宋" w:eastAsia="仿宋"/>
                <w:color w:val="000000" w:themeColor="text1"/>
                <w:sz w:val="24"/>
                <w:szCs w:val="24"/>
                <w:lang w:eastAsia="zh-CN"/>
                <w14:textFill>
                  <w14:solidFill>
                    <w14:schemeClr w14:val="tx1"/>
                  </w14:solidFill>
                </w14:textFill>
              </w:rPr>
              <w:t>结对帮扶工作</w:t>
            </w:r>
            <w:r>
              <w:rPr>
                <w:rFonts w:hint="eastAsia" w:ascii="仿宋" w:hAnsi="仿宋" w:eastAsia="仿宋"/>
                <w:color w:val="000000" w:themeColor="text1"/>
                <w:sz w:val="24"/>
                <w:szCs w:val="24"/>
                <w14:textFill>
                  <w14:solidFill>
                    <w14:schemeClr w14:val="tx1"/>
                  </w14:solidFill>
                </w14:textFill>
              </w:rPr>
              <w:t>会议，进行广泛动员，</w:t>
            </w:r>
            <w:r>
              <w:rPr>
                <w:rFonts w:hint="eastAsia" w:ascii="仿宋" w:hAnsi="仿宋" w:eastAsia="仿宋"/>
                <w:color w:val="000000" w:themeColor="text1"/>
                <w:sz w:val="24"/>
                <w:szCs w:val="24"/>
                <w:lang w:eastAsia="zh-CN"/>
                <w14:textFill>
                  <w14:solidFill>
                    <w14:schemeClr w14:val="tx1"/>
                  </w14:solidFill>
                </w14:textFill>
              </w:rPr>
              <w:t>干部及</w:t>
            </w:r>
            <w:r>
              <w:rPr>
                <w:rFonts w:hint="eastAsia" w:ascii="仿宋" w:hAnsi="仿宋" w:eastAsia="仿宋"/>
                <w:color w:val="000000" w:themeColor="text1"/>
                <w:sz w:val="24"/>
                <w:szCs w:val="24"/>
                <w14:textFill>
                  <w14:solidFill>
                    <w14:schemeClr w14:val="tx1"/>
                  </w14:solidFill>
                </w14:textFill>
              </w:rPr>
              <w:t>教师对结对帮扶工作知晓率达100％</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有文案</w:t>
            </w:r>
            <w:r>
              <w:rPr>
                <w:rFonts w:hint="eastAsia" w:ascii="仿宋" w:hAnsi="仿宋" w:eastAsia="仿宋"/>
                <w:color w:val="000000" w:themeColor="text1"/>
                <w:sz w:val="24"/>
                <w:szCs w:val="24"/>
                <w:lang w:val="en-US" w:eastAsia="zh-CN"/>
                <w14:textFill>
                  <w14:solidFill>
                    <w14:schemeClr w14:val="tx1"/>
                  </w14:solidFill>
                </w14:textFill>
              </w:rPr>
              <w:t>或</w:t>
            </w:r>
            <w:r>
              <w:rPr>
                <w:rFonts w:hint="eastAsia" w:ascii="仿宋" w:hAnsi="仿宋" w:eastAsia="仿宋"/>
                <w:color w:val="000000" w:themeColor="text1"/>
                <w:sz w:val="24"/>
                <w:szCs w:val="24"/>
                <w14:textFill>
                  <w14:solidFill>
                    <w14:schemeClr w14:val="tx1"/>
                  </w14:solidFill>
                </w14:textFill>
              </w:rPr>
              <w:t>图片等资料佐证</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10分</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1598" w:type="dxa"/>
            <w:vAlign w:val="center"/>
          </w:tcPr>
          <w:p>
            <w:pPr>
              <w:pStyle w:val="3"/>
              <w:spacing w:line="38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组织领导</w:t>
            </w:r>
          </w:p>
        </w:tc>
        <w:tc>
          <w:tcPr>
            <w:tcW w:w="1185" w:type="dxa"/>
            <w:vAlign w:val="center"/>
          </w:tcPr>
          <w:p>
            <w:pPr>
              <w:pStyle w:val="3"/>
              <w:spacing w:line="38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15</w:t>
            </w:r>
            <w:r>
              <w:rPr>
                <w:rFonts w:hint="eastAsia" w:ascii="仿宋" w:hAnsi="仿宋" w:eastAsia="仿宋"/>
                <w:color w:val="000000" w:themeColor="text1"/>
                <w:sz w:val="24"/>
                <w:szCs w:val="24"/>
                <w14:textFill>
                  <w14:solidFill>
                    <w14:schemeClr w14:val="tx1"/>
                  </w14:solidFill>
                </w14:textFill>
              </w:rPr>
              <w:t>分</w:t>
            </w:r>
          </w:p>
        </w:tc>
        <w:tc>
          <w:tcPr>
            <w:tcW w:w="6395" w:type="dxa"/>
            <w:vAlign w:val="center"/>
          </w:tcPr>
          <w:p>
            <w:pPr>
              <w:pStyle w:val="3"/>
              <w:spacing w:line="38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对象园、中心校有与主体园签署的三年结对工作协议（</w:t>
            </w:r>
            <w:r>
              <w:rPr>
                <w:rFonts w:hint="eastAsia" w:ascii="仿宋" w:hAnsi="仿宋" w:eastAsia="仿宋"/>
                <w:color w:val="000000" w:themeColor="text1"/>
                <w:sz w:val="24"/>
                <w:szCs w:val="24"/>
                <w:lang w:val="en-US" w:eastAsia="zh-CN"/>
                <w14:textFill>
                  <w14:solidFill>
                    <w14:schemeClr w14:val="tx1"/>
                  </w14:solidFill>
                </w14:textFill>
              </w:rPr>
              <w:t>5分</w:t>
            </w:r>
            <w:r>
              <w:rPr>
                <w:rFonts w:hint="eastAsia" w:ascii="仿宋" w:hAnsi="仿宋" w:eastAsia="仿宋"/>
                <w:color w:val="000000" w:themeColor="text1"/>
                <w:sz w:val="24"/>
                <w:szCs w:val="24"/>
                <w:lang w:eastAsia="zh-CN"/>
                <w14:textFill>
                  <w14:solidFill>
                    <w14:schemeClr w14:val="tx1"/>
                  </w14:solidFill>
                </w14:textFill>
              </w:rPr>
              <w:t>）；中心校校教学副校长和对象园园长要积极配合主体园的结对帮扶工作，负责主体园入园帮扶时的组织和协调工作，</w:t>
            </w:r>
            <w:r>
              <w:rPr>
                <w:rFonts w:hint="eastAsia" w:ascii="仿宋" w:hAnsi="仿宋" w:eastAsia="仿宋"/>
                <w:color w:val="000000" w:themeColor="text1"/>
                <w:sz w:val="24"/>
                <w:szCs w:val="24"/>
                <w:lang w:val="en-US" w:eastAsia="zh-CN"/>
                <w14:textFill>
                  <w14:solidFill>
                    <w14:schemeClr w14:val="tx1"/>
                  </w14:solidFill>
                </w14:textFill>
              </w:rPr>
              <w:t>能按照主体园指导建议，及时整改和调整发现的问题，配合度高，保障适当的经费投入，</w:t>
            </w:r>
            <w:r>
              <w:rPr>
                <w:rFonts w:hint="eastAsia" w:ascii="仿宋" w:hAnsi="仿宋" w:eastAsia="仿宋"/>
                <w:color w:val="000000" w:themeColor="text1"/>
                <w:sz w:val="24"/>
                <w:szCs w:val="24"/>
                <w:lang w:eastAsia="zh-CN"/>
                <w14:textFill>
                  <w14:solidFill>
                    <w14:schemeClr w14:val="tx1"/>
                  </w14:solidFill>
                </w14:textFill>
              </w:rPr>
              <w:t>确保帮扶工作的有序开展（</w:t>
            </w:r>
            <w:r>
              <w:rPr>
                <w:rFonts w:hint="eastAsia" w:ascii="仿宋" w:hAnsi="仿宋" w:eastAsia="仿宋"/>
                <w:color w:val="000000" w:themeColor="text1"/>
                <w:sz w:val="24"/>
                <w:szCs w:val="24"/>
                <w:lang w:val="en-US" w:eastAsia="zh-CN"/>
                <w14:textFill>
                  <w14:solidFill>
                    <w14:schemeClr w14:val="tx1"/>
                  </w14:solidFill>
                </w14:textFill>
              </w:rPr>
              <w:t>10分</w:t>
            </w:r>
            <w:r>
              <w:rPr>
                <w:rFonts w:hint="eastAsia" w:ascii="仿宋" w:hAnsi="仿宋" w:eastAsia="仿宋"/>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598" w:type="dxa"/>
            <w:vAlign w:val="center"/>
          </w:tcPr>
          <w:p>
            <w:pPr>
              <w:pStyle w:val="3"/>
              <w:spacing w:line="38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入</w:t>
            </w:r>
            <w:r>
              <w:rPr>
                <w:rFonts w:hint="eastAsia" w:ascii="仿宋" w:hAnsi="仿宋" w:eastAsia="仿宋"/>
                <w:color w:val="000000" w:themeColor="text1"/>
                <w:sz w:val="24"/>
                <w:szCs w:val="24"/>
                <w:lang w:eastAsia="zh-CN"/>
                <w14:textFill>
                  <w14:solidFill>
                    <w14:schemeClr w14:val="tx1"/>
                  </w14:solidFill>
                </w14:textFill>
              </w:rPr>
              <w:t>园</w:t>
            </w:r>
            <w:r>
              <w:rPr>
                <w:rFonts w:hint="eastAsia" w:ascii="仿宋" w:hAnsi="仿宋" w:eastAsia="仿宋"/>
                <w:color w:val="000000" w:themeColor="text1"/>
                <w:sz w:val="24"/>
                <w:szCs w:val="24"/>
                <w14:textFill>
                  <w14:solidFill>
                    <w14:schemeClr w14:val="tx1"/>
                  </w14:solidFill>
                </w14:textFill>
              </w:rPr>
              <w:t>诊断</w:t>
            </w:r>
          </w:p>
        </w:tc>
        <w:tc>
          <w:tcPr>
            <w:tcW w:w="1185" w:type="dxa"/>
            <w:vAlign w:val="center"/>
          </w:tcPr>
          <w:p>
            <w:pPr>
              <w:pStyle w:val="3"/>
              <w:spacing w:line="38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0</w:t>
            </w:r>
            <w:r>
              <w:rPr>
                <w:rFonts w:hint="eastAsia" w:ascii="仿宋" w:hAnsi="仿宋" w:eastAsia="仿宋"/>
                <w:color w:val="000000" w:themeColor="text1"/>
                <w:sz w:val="24"/>
                <w:szCs w:val="24"/>
                <w14:textFill>
                  <w14:solidFill>
                    <w14:schemeClr w14:val="tx1"/>
                  </w14:solidFill>
                </w14:textFill>
              </w:rPr>
              <w:t>分</w:t>
            </w:r>
          </w:p>
        </w:tc>
        <w:tc>
          <w:tcPr>
            <w:tcW w:w="6395" w:type="dxa"/>
            <w:vAlign w:val="center"/>
          </w:tcPr>
          <w:p>
            <w:pPr>
              <w:pStyle w:val="3"/>
              <w:spacing w:line="380" w:lineRule="exact"/>
              <w:jc w:val="left"/>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在</w:t>
            </w:r>
            <w:r>
              <w:rPr>
                <w:rFonts w:hint="eastAsia" w:ascii="仿宋" w:hAnsi="仿宋" w:eastAsia="仿宋"/>
                <w:color w:val="000000" w:themeColor="text1"/>
                <w:sz w:val="24"/>
                <w:szCs w:val="24"/>
                <w14:textFill>
                  <w14:solidFill>
                    <w14:schemeClr w14:val="tx1"/>
                  </w14:solidFill>
                </w14:textFill>
              </w:rPr>
              <w:t>签订结对帮扶协议后</w:t>
            </w:r>
            <w:r>
              <w:rPr>
                <w:rFonts w:hint="eastAsia" w:ascii="仿宋" w:hAnsi="仿宋" w:eastAsia="仿宋"/>
                <w:color w:val="000000" w:themeColor="text1"/>
                <w:sz w:val="24"/>
                <w:szCs w:val="24"/>
                <w:lang w:eastAsia="zh-CN"/>
                <w14:textFill>
                  <w14:solidFill>
                    <w14:schemeClr w14:val="tx1"/>
                  </w14:solidFill>
                </w14:textFill>
              </w:rPr>
              <w:t>，中心学校教学副校长和对象园园长、老师要与主体园帮扶指导员开展入园诊断会议，告知主体园园所实际情况，协助主体园制订诊断报告，</w:t>
            </w:r>
            <w:r>
              <w:rPr>
                <w:rFonts w:hint="eastAsia" w:ascii="仿宋" w:hAnsi="仿宋" w:eastAsia="仿宋"/>
                <w:color w:val="000000" w:themeColor="text1"/>
                <w:sz w:val="24"/>
                <w:szCs w:val="24"/>
                <w14:textFill>
                  <w14:solidFill>
                    <w14:schemeClr w14:val="tx1"/>
                  </w14:solidFill>
                </w14:textFill>
              </w:rPr>
              <w:t>有文案、图片等资料佐证</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10分</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598" w:type="dxa"/>
            <w:vAlign w:val="center"/>
          </w:tcPr>
          <w:p>
            <w:pPr>
              <w:pStyle w:val="3"/>
              <w:spacing w:line="38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人员交流</w:t>
            </w:r>
          </w:p>
        </w:tc>
        <w:tc>
          <w:tcPr>
            <w:tcW w:w="1185" w:type="dxa"/>
            <w:vAlign w:val="center"/>
          </w:tcPr>
          <w:p>
            <w:pPr>
              <w:pStyle w:val="3"/>
              <w:spacing w:line="38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20</w:t>
            </w:r>
            <w:r>
              <w:rPr>
                <w:rFonts w:hint="eastAsia" w:ascii="仿宋" w:hAnsi="仿宋" w:eastAsia="仿宋"/>
                <w:color w:val="000000" w:themeColor="text1"/>
                <w:sz w:val="24"/>
                <w:szCs w:val="24"/>
                <w14:textFill>
                  <w14:solidFill>
                    <w14:schemeClr w14:val="tx1"/>
                  </w14:solidFill>
                </w14:textFill>
              </w:rPr>
              <w:t>分</w:t>
            </w:r>
          </w:p>
        </w:tc>
        <w:tc>
          <w:tcPr>
            <w:tcW w:w="6395" w:type="dxa"/>
            <w:vAlign w:val="center"/>
          </w:tcPr>
          <w:p>
            <w:pPr>
              <w:pStyle w:val="3"/>
              <w:spacing w:line="380" w:lineRule="exact"/>
              <w:jc w:val="left"/>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对象园</w:t>
            </w:r>
            <w:r>
              <w:rPr>
                <w:rFonts w:hint="eastAsia" w:ascii="仿宋" w:hAnsi="仿宋" w:eastAsia="仿宋"/>
                <w:color w:val="000000" w:themeColor="text1"/>
                <w:sz w:val="24"/>
                <w:szCs w:val="24"/>
                <w14:textFill>
                  <w14:solidFill>
                    <w14:schemeClr w14:val="tx1"/>
                  </w14:solidFill>
                </w14:textFill>
              </w:rPr>
              <w:t>中、青年教师</w:t>
            </w:r>
            <w:r>
              <w:rPr>
                <w:rFonts w:hint="eastAsia" w:ascii="仿宋" w:hAnsi="仿宋" w:eastAsia="仿宋"/>
                <w:color w:val="000000" w:themeColor="text1"/>
                <w:sz w:val="24"/>
                <w:szCs w:val="24"/>
                <w:lang w:eastAsia="zh-CN"/>
                <w14:textFill>
                  <w14:solidFill>
                    <w14:schemeClr w14:val="tx1"/>
                  </w14:solidFill>
                </w14:textFill>
              </w:rPr>
              <w:t>有与主体园优秀教师开展</w:t>
            </w:r>
            <w:r>
              <w:rPr>
                <w:rFonts w:hint="eastAsia" w:ascii="仿宋" w:hAnsi="仿宋" w:eastAsia="仿宋"/>
                <w:color w:val="000000" w:themeColor="text1"/>
                <w:sz w:val="24"/>
                <w:szCs w:val="24"/>
                <w14:textFill>
                  <w14:solidFill>
                    <w14:schemeClr w14:val="tx1"/>
                  </w14:solidFill>
                </w14:textFill>
              </w:rPr>
              <w:t>“师徒结对”帮扶</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10分</w:t>
            </w:r>
            <w:r>
              <w:rPr>
                <w:rFonts w:hint="eastAsia" w:ascii="仿宋" w:hAnsi="仿宋" w:eastAsia="仿宋"/>
                <w:color w:val="000000" w:themeColor="text1"/>
                <w:sz w:val="24"/>
                <w:szCs w:val="24"/>
                <w:lang w:eastAsia="zh-CN"/>
                <w14:textFill>
                  <w14:solidFill>
                    <w14:schemeClr w14:val="tx1"/>
                  </w14:solidFill>
                </w14:textFill>
              </w:rPr>
              <w:t>）；积极参加主体园的双向交流活动，</w:t>
            </w:r>
            <w:r>
              <w:rPr>
                <w:rFonts w:hint="eastAsia" w:ascii="仿宋" w:hAnsi="仿宋" w:eastAsia="仿宋"/>
                <w:color w:val="000000" w:themeColor="text1"/>
                <w:sz w:val="24"/>
                <w:szCs w:val="24"/>
                <w14:textFill>
                  <w14:solidFill>
                    <w14:schemeClr w14:val="tx1"/>
                  </w14:solidFill>
                </w14:textFill>
              </w:rPr>
              <w:t>有</w:t>
            </w:r>
            <w:r>
              <w:rPr>
                <w:rFonts w:hint="eastAsia" w:ascii="仿宋" w:hAnsi="仿宋" w:eastAsia="仿宋"/>
                <w:color w:val="000000" w:themeColor="text1"/>
                <w:sz w:val="24"/>
                <w:szCs w:val="24"/>
                <w:lang w:eastAsia="zh-CN"/>
                <w14:textFill>
                  <w14:solidFill>
                    <w14:schemeClr w14:val="tx1"/>
                  </w14:solidFill>
                </w14:textFill>
              </w:rPr>
              <w:t>教师学习心得和活动</w:t>
            </w:r>
            <w:r>
              <w:rPr>
                <w:rFonts w:hint="eastAsia" w:ascii="仿宋" w:hAnsi="仿宋" w:eastAsia="仿宋"/>
                <w:color w:val="000000" w:themeColor="text1"/>
                <w:sz w:val="24"/>
                <w:szCs w:val="24"/>
                <w14:textFill>
                  <w14:solidFill>
                    <w14:schemeClr w14:val="tx1"/>
                  </w14:solidFill>
                </w14:textFill>
              </w:rPr>
              <w:t>文案、图片等资料佐证</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10分</w:t>
            </w:r>
            <w:r>
              <w:rPr>
                <w:rFonts w:hint="eastAsia" w:ascii="仿宋" w:hAnsi="仿宋" w:eastAsia="仿宋"/>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trPr>
        <w:tc>
          <w:tcPr>
            <w:tcW w:w="1598" w:type="dxa"/>
            <w:vAlign w:val="center"/>
          </w:tcPr>
          <w:p>
            <w:pPr>
              <w:pStyle w:val="3"/>
              <w:spacing w:line="38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结对效果</w:t>
            </w:r>
          </w:p>
        </w:tc>
        <w:tc>
          <w:tcPr>
            <w:tcW w:w="1185" w:type="dxa"/>
            <w:vAlign w:val="center"/>
          </w:tcPr>
          <w:p>
            <w:pPr>
              <w:pStyle w:val="3"/>
              <w:spacing w:line="38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45</w:t>
            </w:r>
            <w:r>
              <w:rPr>
                <w:rFonts w:hint="eastAsia" w:ascii="仿宋" w:hAnsi="仿宋" w:eastAsia="仿宋"/>
                <w:color w:val="000000" w:themeColor="text1"/>
                <w:sz w:val="24"/>
                <w:szCs w:val="24"/>
                <w14:textFill>
                  <w14:solidFill>
                    <w14:schemeClr w14:val="tx1"/>
                  </w14:solidFill>
                </w14:textFill>
              </w:rPr>
              <w:t>分</w:t>
            </w:r>
          </w:p>
        </w:tc>
        <w:tc>
          <w:tcPr>
            <w:tcW w:w="6395" w:type="dxa"/>
            <w:vAlign w:val="center"/>
          </w:tcPr>
          <w:p>
            <w:pPr>
              <w:numPr>
                <w:ilvl w:val="0"/>
                <w:numId w:val="1"/>
              </w:numPr>
              <w:spacing w:line="380" w:lineRule="exact"/>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对象园进一步端正办园思想，明确办园理念，坚持以游戏为幼儿主要活动形式，落实立德树人根本任务，促进幼儿身心全面和谐发展（15分）；</w:t>
            </w:r>
          </w:p>
          <w:p>
            <w:pPr>
              <w:numPr>
                <w:ilvl w:val="0"/>
                <w:numId w:val="1"/>
              </w:numPr>
              <w:spacing w:line="380" w:lineRule="exact"/>
              <w:ind w:left="0" w:leftChars="0" w:firstLine="0" w:firstLineChars="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对象园进一步树立科学幼儿园课程观，丰富幼儿室内外自主游戏，实施科学保教、科学幼小衔接（10分）；</w:t>
            </w:r>
          </w:p>
          <w:p>
            <w:pPr>
              <w:numPr>
                <w:ilvl w:val="0"/>
                <w:numId w:val="1"/>
              </w:numPr>
              <w:spacing w:line="380" w:lineRule="exact"/>
              <w:ind w:left="0" w:leftChars="0" w:firstLine="0" w:firstLineChars="0"/>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对象园进一步完善园所管理制度，优化管理办法（10分）；</w:t>
            </w:r>
          </w:p>
          <w:p>
            <w:pPr>
              <w:numPr>
                <w:ilvl w:val="0"/>
                <w:numId w:val="1"/>
              </w:numPr>
              <w:spacing w:line="380" w:lineRule="exact"/>
              <w:ind w:left="0" w:leftChars="0" w:firstLine="0" w:firstLineChars="0"/>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对象园进一步优化幼儿园一日活动流程，丰富游戏化课程的设计，以游戏化课程教学模式推进园所保教质量的提升（10分）；</w:t>
            </w:r>
          </w:p>
        </w:tc>
      </w:tr>
    </w:tbl>
    <w:p/>
    <w:sectPr>
      <w:footerReference r:id="rId3"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pPr>
                          <w:r>
                            <w:rPr>
                              <w:rFonts w:ascii="宋体" w:hAnsi="宋体" w:cs="宋体"/>
                              <w:sz w:val="28"/>
                            </w:rPr>
                            <w:fldChar w:fldCharType="begin"/>
                          </w:r>
                          <w:r>
                            <w:rPr>
                              <w:rFonts w:ascii="宋体" w:hAnsi="宋体" w:cs="宋体"/>
                              <w:sz w:val="28"/>
                            </w:rPr>
                            <w:instrText xml:space="preserve"> PAGE  \* MERGEFORMAT </w:instrText>
                          </w:r>
                          <w:r>
                            <w:rPr>
                              <w:rFonts w:ascii="宋体" w:hAnsi="宋体" w:cs="宋体"/>
                              <w:sz w:val="28"/>
                            </w:rPr>
                            <w:fldChar w:fldCharType="separate"/>
                          </w:r>
                          <w:r>
                            <w:rPr>
                              <w:rFonts w:ascii="宋体" w:hAnsi="宋体" w:cs="宋体"/>
                              <w:sz w:val="28"/>
                            </w:rPr>
                            <w:t>1</w:t>
                          </w:r>
                          <w:r>
                            <w:rPr>
                              <w:rFonts w:ascii="宋体" w:hAnsi="宋体" w:cs="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pPr>
                    <w:r>
                      <w:rPr>
                        <w:rFonts w:ascii="宋体" w:hAnsi="宋体" w:cs="宋体"/>
                        <w:sz w:val="28"/>
                      </w:rPr>
                      <w:fldChar w:fldCharType="begin"/>
                    </w:r>
                    <w:r>
                      <w:rPr>
                        <w:rFonts w:ascii="宋体" w:hAnsi="宋体" w:cs="宋体"/>
                        <w:sz w:val="28"/>
                      </w:rPr>
                      <w:instrText xml:space="preserve"> PAGE  \* MERGEFORMAT </w:instrText>
                    </w:r>
                    <w:r>
                      <w:rPr>
                        <w:rFonts w:ascii="宋体" w:hAnsi="宋体" w:cs="宋体"/>
                        <w:sz w:val="28"/>
                      </w:rPr>
                      <w:fldChar w:fldCharType="separate"/>
                    </w:r>
                    <w:r>
                      <w:rPr>
                        <w:rFonts w:ascii="宋体" w:hAnsi="宋体" w:cs="宋体"/>
                        <w:sz w:val="28"/>
                      </w:rPr>
                      <w:t>1</w:t>
                    </w:r>
                    <w:r>
                      <w:rPr>
                        <w:rFonts w:ascii="宋体" w:hAnsi="宋体" w:cs="宋体"/>
                        <w:sz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A43649"/>
    <w:multiLevelType w:val="singleLevel"/>
    <w:tmpl w:val="53A436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ZDAxODBhOTJmNjUxZDViZDEyNDJlMjAxMjliNDYifQ=="/>
  </w:docVars>
  <w:rsids>
    <w:rsidRoot w:val="35795D2A"/>
    <w:rsid w:val="35795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toc 1"/>
    <w:basedOn w:val="1"/>
    <w:next w:val="1"/>
    <w:qFormat/>
    <w:uiPriority w:val="2"/>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614</Words>
  <Characters>630</Characters>
  <Lines>0</Lines>
  <Paragraphs>0</Paragraphs>
  <TotalTime>0</TotalTime>
  <ScaleCrop>false</ScaleCrop>
  <LinksUpToDate>false</LinksUpToDate>
  <CharactersWithSpaces>630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2023-05-12T08:01:00Z</dcterms:created>
  <dc:creator>咕咕咕咕噜噜</dc:creator>
  <cp:lastModifiedBy>咕咕咕咕噜噜</cp:lastModifiedBy>
  <dcterms:modified xsi:type="dcterms:W3CDTF">2023-05-12T08:01:13Z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10484ACE24144899BF307B3A6C94CBAA_11</vt:lpwstr>
  </property>
</Properties>
</file>