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南县职业中等专业学校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年度预算绩效自评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工 作 报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湖南省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委办公厅 湖南省人民政府办公厅关于全面实施预算绩效管理的实施意见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号）和《南县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财政局关于做好2022年度预算绩效自评工作的通知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号）等文件精神要求，为进一步规范财政资金管理，牢固树立预算绩效理念，切实提高财政资金使用效益，我单位成立了以财务分管领导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冷凯云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同志为组长的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绩效自评工作小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组，参照有关财政支出绩效评价指标体系，认真组织对20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年度县财政预算批复资金进行自查考评，现将有关情况报告如下：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南县职业中等专业学校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有在职在编人员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人，其中借调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人，长期临时工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人，企业外聘教师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人，退休人员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人；遗属人员8人，在职教师独生子女3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人，退休教师独生子女20人。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（一）部门整体支出概况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2021年部门决算收支完成情况。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1.收入：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4790.19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万元。同比上年度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7931.78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减少3141.59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下降39.61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％。其中：财政拨款收入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4786.90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万元,同比上年度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7251.54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减少2464.64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下降33.99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％。其他收入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万元，同比上年度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680.24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减少676.95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下降99.52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％。主要是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21年将食堂非税收入和国有资产出租收入纳入了其他收入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2.支出：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4790.19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万元，同比上年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7931.78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减少3141.59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下降39.61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％。减少部分主要是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2022年无大型工程类项目，故财政补助支出减少。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其中：工资福利支出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2486.77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万元，商品和服务支出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930.94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万元，对个人和家庭的补助支出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273.24万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元，资本性支出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1099.24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（二）部门整体支出绩效目标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2022年，在县委政府和县教育局的的正确领导下，南县职业中等专业学校被评为了“湖南省优质中职学校和专业群项目建设单位”、“绿色学校”“民族团结进步示范校”。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教育教学质量、党建工作、安全生产、均进入先进行列，全校</w:t>
      </w:r>
      <w:r>
        <w:rPr>
          <w:rFonts w:hint="eastAsia" w:ascii="仿宋_GB2312" w:eastAsia="仿宋_GB2312"/>
          <w:color w:val="auto"/>
          <w:sz w:val="32"/>
          <w:szCs w:val="32"/>
        </w:rPr>
        <w:t>教育环境风清气正，教育氛围劲足心齐，发展态势持续向好。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（三）部门整体支出情况分析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度财政预算资金合计4790.19万元，2022年12月全部拨付到位，我单位根据年初预算编制及时制定实施计划组织实施。南县职业中专严格按照年初预算进行部门整体支出。在支出过程中，严格遵守各项规章制度，严格控制公务接待费用的支出。尤其是在专项经费支出上，我们力争做到专款专用，按项目实施计划的进度情况进行资金分配，无挪用专项经费的现象。实行了先有预算、后有执行、“用钱必问效、无效必问责”的新常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此次绩效评价的目的是：严格落实《预算法》及省、市、县绩效管理工作的有关规定，进一步规范财政资金的管理，强化财政支出绩效理念，提升部门责任意识，提高资金使用效益，促进科协事业又好又快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（二）绩效评价的工作过程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绩效评价的要求，我们成立了自评工作领导小组，对照自评方案进行研究和布署，党组成员及财务人员全程参与，按照自评方案的要求，对照各实施项目的内容逐条逐项自评。在自评过程发现问题，查找原因，及时纠正偏差，为下一步工作夯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三、主要绩效及评价结论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）经济性效益分析：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职教中心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投入使用，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完善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校园“三防”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“明厨亮灶”建设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联网雪亮平台，实现监控全覆盖，一键式报警联网装置达标率100%。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）社会性效益分析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教师队伍建设更“强”。新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招录编制教师23人，外聘教师13人，由邓克芳校长带队，四个教师团队带领学生参加黄炎培创业大赛获得省级一等奖、省级二等奖、2个市级二等奖的好成绩。2022年益阳市中职学校教师职业能力竞赛中，曹慧团队、李艳团队都获得了市级三等奖的成绩。2022年“楚怡杯”湖南省职业院校技能竞赛中，王伟芬指导学生获得省级二等奖的成绩。</w:t>
      </w:r>
    </w:p>
    <w:p>
      <w:pPr>
        <w:ind w:firstLine="643" w:firstLineChars="200"/>
        <w:rPr>
          <w:rFonts w:hint="default" w:ascii="宋体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发展环境更“好”。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2022年申报了益阳市创业培训项目，我校开展职业教育培训的重要阵地，学历教育与培训并举并重的职业教学办学规格基本形成。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一年来招生就业成绩“喜”人。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2022年秋季招生1395人，远超计划1200人。校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企合作创新人才培养模式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已见成效。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县职业中等专业学校推行“工学结合”“校企合作”“订单式”培养模式，与苏州华硕集团、深圳富士康等10家大型企业联合办学。毕业生到工厂就业，实现学习实习就业与工厂“一条龙”对接。一年来，教育教改成绩喜人，教师发表教学论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来篇，获奖论文课件近100篇。组织学生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加“文明风采大赛”活动，获得了乒乓球赛精神文明奖，“中职学校非遗技艺技能展示”获得省二等奖、省三等奖。积极开展校内禁毒知识宣传活动，本校学生在益阳市禁毒知识选拔赛上荣获高中组第一名的好成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学生积极参加省市级技能大赛，获市级奖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人/次、省级奖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市级奖7个。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教育改革更“实”。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一是大力推进思政课改革。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“五育并举”为导向，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围绕立德树人根本任务，党建+引领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思政课，三位党员教师上党员思政示范课。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二是中职新高考新突破。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湖南省对口升学3.51万考生，本科录取率11%，我校19人参考，5人上线，其中三位录取一本学校，本科上线率已达26%，是平均录取率的2.3倍，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创历史新记录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38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精准帮扶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更“暖”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资助各级各类贫困学子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人次，发放资助金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名建档立卡户子女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发放助学金278000元，3人获得国家奖学金18000元。做到了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应助尽助、无一人失学辍学。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特色发展更“新”。我校开展特色综合素质提高课程，共开设23个社团，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校园文化、德育、阅读、体艺、技能竞赛、实训等活动多样化开展，党建+活动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）环境性效益分析：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等线 Light" w:hAnsi="等线 Light" w:eastAsia="等线 Light" w:cs="等线 Light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环境保护和垃圾分类知识宣传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，倡导全民养成低碳、节能减排的科学生活方式；注重绿色环保、生态种养、要金山银山，更要青山绿水。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）可持续性影响分析：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通过一系列教育工作的开展，将会不断提升全县人民的文化素养，积极推动科技创新，从而为南县经济发展提供智力支持。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是各项费用预算严重不足，学校招生情况好，在校生每年剧增，电费、水费、维修费经费严重不足。二是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硬件设施不全。现有实训设备已老旧，无法跟上时代的进步。实训耗材以及在外比赛购买的材料，都计入专用材料类目，因此此科目费用需求较大。三是职教中心功能未充分发挥作用。培训资源分散，未能集中在职教中心。农业局、劳动局等部门的培训项目未安排在职教中心，让职教中心缺少培训机会，浪费师资等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五、有关建议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财政部门根据教育实际情况，适当增加预算。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六、其他需要说明的问题：无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南县职业中等专业学校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/>
        <w:jc w:val="right"/>
        <w:textAlignment w:val="auto"/>
        <w:outlineLvl w:val="9"/>
        <w:rPr>
          <w:color w:val="auto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2023年3月15日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TMzZWM3MGQ2MzYxY2JjODNhOTNhNjkxNDQ2YWQifQ=="/>
  </w:docVars>
  <w:rsids>
    <w:rsidRoot w:val="42DA4ECB"/>
    <w:rsid w:val="02F4124E"/>
    <w:rsid w:val="034911D9"/>
    <w:rsid w:val="04113E94"/>
    <w:rsid w:val="063407A8"/>
    <w:rsid w:val="09B107B2"/>
    <w:rsid w:val="0A8C7FBE"/>
    <w:rsid w:val="0AF51FE5"/>
    <w:rsid w:val="0D1D090D"/>
    <w:rsid w:val="13E1737B"/>
    <w:rsid w:val="143550F0"/>
    <w:rsid w:val="1AAB5D73"/>
    <w:rsid w:val="1E2958E0"/>
    <w:rsid w:val="207B61C6"/>
    <w:rsid w:val="214D4E40"/>
    <w:rsid w:val="21645399"/>
    <w:rsid w:val="27144D3A"/>
    <w:rsid w:val="288F7F80"/>
    <w:rsid w:val="2B2C651E"/>
    <w:rsid w:val="2DF9571A"/>
    <w:rsid w:val="2EF22E6E"/>
    <w:rsid w:val="33BA1F7E"/>
    <w:rsid w:val="37031558"/>
    <w:rsid w:val="37410504"/>
    <w:rsid w:val="3B5E2EF1"/>
    <w:rsid w:val="3B8D6AEC"/>
    <w:rsid w:val="3FE13743"/>
    <w:rsid w:val="42DA4ECB"/>
    <w:rsid w:val="457E0B30"/>
    <w:rsid w:val="46B21A78"/>
    <w:rsid w:val="4778183C"/>
    <w:rsid w:val="489A7C7A"/>
    <w:rsid w:val="4E72041F"/>
    <w:rsid w:val="53564779"/>
    <w:rsid w:val="59EB3A16"/>
    <w:rsid w:val="59EB5AA6"/>
    <w:rsid w:val="5B5639C9"/>
    <w:rsid w:val="5CA0684E"/>
    <w:rsid w:val="5E86300D"/>
    <w:rsid w:val="5F235DDE"/>
    <w:rsid w:val="616B5187"/>
    <w:rsid w:val="66B94E0C"/>
    <w:rsid w:val="67B84C98"/>
    <w:rsid w:val="6AE66D4A"/>
    <w:rsid w:val="6CD32DBA"/>
    <w:rsid w:val="6CF84846"/>
    <w:rsid w:val="6D2908A1"/>
    <w:rsid w:val="6EDB239C"/>
    <w:rsid w:val="6F603154"/>
    <w:rsid w:val="708F7808"/>
    <w:rsid w:val="71014394"/>
    <w:rsid w:val="73A0049C"/>
    <w:rsid w:val="768C15AF"/>
    <w:rsid w:val="788C0311"/>
    <w:rsid w:val="7952369B"/>
    <w:rsid w:val="79E7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No Spacing"/>
    <w:qFormat/>
    <w:uiPriority w:val="1"/>
    <w:pPr>
      <w:widowControl w:val="0"/>
      <w:spacing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2456</Words>
  <Characters>2670</Characters>
  <Lines>0</Lines>
  <Paragraphs>0</Paragraphs>
  <TotalTime>4</TotalTime>
  <ScaleCrop>false</ScaleCrop>
  <LinksUpToDate>false</LinksUpToDate>
  <CharactersWithSpaces>2679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2021-03-08T01:36:00Z</dcterms:created>
  <dc:creator>睿睿</dc:creator>
  <cp:lastModifiedBy>彭博</cp:lastModifiedBy>
  <cp:lastPrinted>2022-02-25T00:58:00Z</cp:lastPrinted>
  <dcterms:modified xsi:type="dcterms:W3CDTF">2023-03-16T23:47:12Z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607DCB046C4A463696D6D6BC8BF393F2</vt:lpwstr>
  </property>
</Properties>
</file>