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6"/>
        <w:tblW w:w="9992" w:type="dxa"/>
        <w:jc w:val="center"/>
        <w:tblLayout w:type="fixed"/>
        <w:tblCellMar>
          <w:top w:w="0" w:type="dxa"/>
          <w:left w:w="0" w:type="dxa"/>
          <w:bottom w:w="0" w:type="dxa"/>
          <w:right w:w="0" w:type="dxa"/>
        </w:tblCellMar>
      </w:tblPr>
      <w:tblGrid>
        <w:gridCol w:w="828"/>
        <w:gridCol w:w="784"/>
        <w:gridCol w:w="848"/>
        <w:gridCol w:w="599"/>
        <w:gridCol w:w="2561"/>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color w:val="000000"/>
                <w:lang w:eastAsia="zh-CN"/>
              </w:rPr>
            </w:pPr>
            <w:r>
              <w:rPr>
                <w:rFonts w:hint="eastAsia" w:ascii="黑体" w:hAnsi="黑体" w:eastAsia="黑体"/>
                <w:color w:val="000000"/>
              </w:rPr>
              <w:t>一级</w:t>
            </w:r>
          </w:p>
          <w:p>
            <w:pPr>
              <w:spacing w:line="240" w:lineRule="exact"/>
              <w:jc w:val="center"/>
              <w:rPr>
                <w:rFonts w:hint="eastAsia" w:ascii="黑体" w:hAnsi="黑体" w:eastAsia="黑体"/>
                <w:color w:val="000000"/>
              </w:rPr>
            </w:pP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color w:val="000000"/>
              </w:rPr>
            </w:pPr>
            <w:r>
              <w:rPr>
                <w:rFonts w:hint="eastAsia" w:ascii="黑体" w:hAnsi="黑体" w:eastAsia="黑体"/>
                <w:color w:val="000000"/>
              </w:rPr>
              <w:t>二级</w:t>
            </w:r>
          </w:p>
          <w:p>
            <w:pPr>
              <w:spacing w:line="240" w:lineRule="exact"/>
              <w:jc w:val="center"/>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color w:val="000000"/>
              </w:rPr>
            </w:pPr>
            <w:r>
              <w:rPr>
                <w:rFonts w:hint="eastAsia" w:ascii="黑体" w:hAnsi="黑体" w:eastAsia="黑体"/>
                <w:color w:val="000000"/>
                <w:lang w:val="en-US" w:eastAsia="zh-CN"/>
              </w:rPr>
              <w:t>三</w:t>
            </w:r>
            <w:r>
              <w:rPr>
                <w:rFonts w:hint="eastAsia" w:ascii="黑体" w:hAnsi="黑体" w:eastAsia="黑体"/>
                <w:color w:val="000000"/>
              </w:rPr>
              <w:t>级  指标</w:t>
            </w:r>
          </w:p>
        </w:tc>
        <w:tc>
          <w:tcPr>
            <w:tcW w:w="599"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both"/>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1686" w:firstLineChars="803"/>
              <w:jc w:val="both"/>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color w:val="000000"/>
                <w:lang w:eastAsia="zh-CN"/>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目标</w:t>
            </w:r>
          </w:p>
          <w:p>
            <w:pPr>
              <w:spacing w:line="240" w:lineRule="exact"/>
              <w:jc w:val="center"/>
              <w:rPr>
                <w:rFonts w:hint="eastAsia" w:ascii="宋体" w:hAnsi="宋体"/>
                <w:color w:val="000000"/>
                <w:sz w:val="18"/>
                <w:szCs w:val="18"/>
              </w:rPr>
            </w:pP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w:t>
            </w:r>
            <w:r>
              <w:rPr>
                <w:rFonts w:hint="eastAsia" w:ascii="宋体" w:hAnsi="宋体"/>
                <w:color w:val="000000"/>
                <w:sz w:val="18"/>
                <w:szCs w:val="18"/>
                <w:lang w:val="en-US" w:eastAsia="zh-CN"/>
              </w:rPr>
              <w:t>项目</w:t>
            </w:r>
            <w:r>
              <w:rPr>
                <w:rFonts w:hint="eastAsia" w:ascii="宋体" w:hAnsi="宋体"/>
                <w:color w:val="000000"/>
                <w:sz w:val="18"/>
                <w:szCs w:val="18"/>
              </w:rPr>
              <w:t>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执行</w:t>
            </w:r>
          </w:p>
          <w:p>
            <w:pPr>
              <w:spacing w:line="240" w:lineRule="exact"/>
              <w:jc w:val="both"/>
              <w:rPr>
                <w:rFonts w:hint="eastAsia" w:ascii="宋体" w:hAnsi="宋体"/>
                <w:color w:val="000000"/>
                <w:sz w:val="18"/>
                <w:szCs w:val="18"/>
              </w:rPr>
            </w:pPr>
            <w:r>
              <w:rPr>
                <w:rFonts w:hint="eastAsia" w:ascii="宋体" w:hAnsi="宋体"/>
                <w:color w:val="000000"/>
                <w:sz w:val="18"/>
                <w:szCs w:val="18"/>
              </w:rPr>
              <w:t>（</w:t>
            </w:r>
            <w:r>
              <w:rPr>
                <w:rFonts w:hint="eastAsia" w:ascii="宋体" w:hAnsi="宋体"/>
                <w:color w:val="000000"/>
                <w:sz w:val="18"/>
                <w:szCs w:val="18"/>
                <w:lang w:val="en-US" w:eastAsia="zh-CN"/>
              </w:rPr>
              <w:t>18</w:t>
            </w:r>
            <w:r>
              <w:rPr>
                <w:rFonts w:hint="eastAsia" w:ascii="宋体" w:hAnsi="宋体"/>
                <w:color w:val="000000"/>
                <w:sz w:val="18"/>
                <w:szCs w:val="18"/>
              </w:rPr>
              <w:t>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color w:val="000000"/>
              </w:rPr>
            </w:pPr>
            <w:r>
              <w:rPr>
                <w:rFonts w:hint="eastAsia" w:ascii="仿宋_GB2312" w:hAnsi="宋体"/>
                <w:color w:val="000000"/>
              </w:rPr>
              <w:t>预算</w:t>
            </w:r>
          </w:p>
          <w:p>
            <w:pPr>
              <w:spacing w:line="240" w:lineRule="exact"/>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color w:val="000000"/>
                <w:lang w:eastAsia="zh-CN"/>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eastAsia="宋体"/>
                <w:color w:val="000000"/>
                <w:lang w:eastAsia="zh-CN"/>
              </w:rPr>
            </w:pPr>
            <w:r>
              <w:rPr>
                <w:rFonts w:hint="eastAsia" w:ascii="仿宋_GB2312" w:hAnsi="宋体"/>
                <w:color w:val="000000"/>
              </w:rPr>
              <w:t>资产</w:t>
            </w:r>
          </w:p>
          <w:p>
            <w:pPr>
              <w:spacing w:line="240" w:lineRule="exact"/>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color w:val="000000"/>
                <w:lang w:eastAsia="zh-CN"/>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56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eastAsia="宋体"/>
                <w:color w:val="000000"/>
                <w:sz w:val="18"/>
                <w:szCs w:val="18"/>
                <w:lang w:eastAsia="zh-CN"/>
              </w:rPr>
            </w:pPr>
            <w:r>
              <w:rPr>
                <w:rFonts w:hint="eastAsia" w:ascii="仿宋_GB2312" w:hAnsi="宋体"/>
                <w:color w:val="000000"/>
                <w:sz w:val="18"/>
                <w:szCs w:val="18"/>
              </w:rPr>
              <w:t>职责</w:t>
            </w:r>
          </w:p>
          <w:p>
            <w:pPr>
              <w:spacing w:line="240" w:lineRule="exact"/>
              <w:jc w:val="center"/>
              <w:rPr>
                <w:rFonts w:hint="eastAsia" w:ascii="仿宋_GB2312" w:hAnsi="宋体"/>
                <w:color w:val="000000"/>
                <w:sz w:val="18"/>
                <w:szCs w:val="18"/>
              </w:rPr>
            </w:pPr>
            <w:r>
              <w:rPr>
                <w:rFonts w:hint="eastAsia" w:ascii="仿宋_GB2312" w:hAnsi="宋体"/>
                <w:color w:val="000000"/>
                <w:sz w:val="18"/>
                <w:szCs w:val="18"/>
              </w:rPr>
              <w:t>履行</w:t>
            </w:r>
          </w:p>
          <w:p>
            <w:pPr>
              <w:spacing w:line="240" w:lineRule="exact"/>
              <w:jc w:val="center"/>
              <w:rPr>
                <w:rFonts w:hint="eastAsia" w:ascii="仿宋_GB2312" w:hAnsi="宋体" w:eastAsia="宋体"/>
                <w:color w:val="000000"/>
                <w:sz w:val="18"/>
                <w:szCs w:val="18"/>
                <w:lang w:eastAsia="zh-CN"/>
              </w:rPr>
            </w:pPr>
            <w:r>
              <w:rPr>
                <w:rFonts w:hint="eastAsia" w:ascii="仿宋_GB2312" w:hAnsi="宋体"/>
                <w:color w:val="000000"/>
                <w:sz w:val="18"/>
                <w:szCs w:val="18"/>
                <w:lang w:eastAsia="zh-CN"/>
              </w:rPr>
              <w:t>（</w:t>
            </w:r>
            <w:r>
              <w:rPr>
                <w:rFonts w:hint="eastAsia" w:ascii="仿宋_GB2312" w:hAnsi="宋体" w:eastAsia="仿宋_GB2312"/>
                <w:color w:val="000000"/>
                <w:lang w:val="en-US" w:eastAsia="zh-CN"/>
              </w:rPr>
              <w:t>30分</w:t>
            </w:r>
            <w:r>
              <w:rPr>
                <w:rFonts w:hint="eastAsia" w:ascii="仿宋_GB2312" w:hAnsi="宋体"/>
                <w:color w:val="000000"/>
                <w:sz w:val="18"/>
                <w:szCs w:val="18"/>
                <w:lang w:eastAsia="zh-CN"/>
              </w:rPr>
              <w:t>）</w:t>
            </w: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single" w:color="auto" w:sz="4" w:space="0"/>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eastAsia="宋体"/>
                <w:color w:val="000000"/>
                <w:sz w:val="18"/>
                <w:szCs w:val="18"/>
                <w:lang w:eastAsia="zh-CN"/>
              </w:rPr>
            </w:pPr>
            <w:r>
              <w:rPr>
                <w:rFonts w:hint="eastAsia" w:ascii="仿宋_GB2312" w:hAnsi="宋体"/>
                <w:color w:val="000000"/>
                <w:sz w:val="18"/>
                <w:szCs w:val="18"/>
              </w:rPr>
              <w:t>履职</w:t>
            </w:r>
          </w:p>
          <w:p>
            <w:pPr>
              <w:spacing w:line="240" w:lineRule="exact"/>
              <w:jc w:val="center"/>
              <w:rPr>
                <w:rFonts w:hint="eastAsia" w:ascii="仿宋_GB2312" w:hAnsi="宋体"/>
                <w:color w:val="000000"/>
                <w:sz w:val="18"/>
                <w:szCs w:val="18"/>
              </w:rPr>
            </w:pPr>
            <w:r>
              <w:rPr>
                <w:rFonts w:hint="eastAsia" w:ascii="仿宋_GB2312" w:hAnsi="宋体"/>
                <w:color w:val="000000"/>
                <w:sz w:val="18"/>
                <w:szCs w:val="18"/>
              </w:rPr>
              <w:t>效益</w:t>
            </w:r>
          </w:p>
          <w:p>
            <w:pPr>
              <w:spacing w:line="240" w:lineRule="exact"/>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59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561"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宋体"/>
                <w:color w:val="000000"/>
                <w:lang w:val="en-US" w:eastAsia="zh-CN"/>
              </w:rPr>
            </w:pPr>
            <w:r>
              <w:rPr>
                <w:rFonts w:hint="eastAsia" w:ascii="仿宋_GB2312" w:hAnsi="宋体"/>
                <w:color w:val="000000"/>
                <w:lang w:val="en-US" w:eastAsia="zh-CN"/>
              </w:rPr>
              <w:t>总   分</w:t>
            </w:r>
          </w:p>
        </w:tc>
        <w:tc>
          <w:tcPr>
            <w:tcW w:w="784" w:type="dxa"/>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98</w:t>
            </w:r>
          </w:p>
        </w:tc>
        <w:tc>
          <w:tcPr>
            <w:tcW w:w="2561"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pStyle w:val="2"/>
        <w:rPr>
          <w:rFonts w:hint="eastAsia"/>
        </w:rPr>
      </w:pPr>
    </w:p>
    <w:p>
      <w:pPr>
        <w:spacing w:line="560" w:lineRule="exact"/>
        <w:ind w:firstLine="560"/>
        <w:rPr>
          <w:rFonts w:hint="eastAsia" w:ascii="黑体" w:hAnsi="黑体" w:eastAsia="黑体"/>
          <w:color w:val="000000"/>
          <w:sz w:val="28"/>
          <w:szCs w:val="28"/>
        </w:rPr>
      </w:pPr>
      <w:r>
        <w:rPr>
          <w:rFonts w:hint="eastAsia" w:ascii="黑体" w:hAnsi="黑体" w:eastAsia="黑体"/>
          <w:color w:val="000000"/>
          <w:sz w:val="28"/>
          <w:szCs w:val="28"/>
        </w:rPr>
        <w:t>附件2</w:t>
      </w:r>
    </w:p>
    <w:p>
      <w:pPr>
        <w:spacing w:line="6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2020年项目支出绩效自评指标计分表</w:t>
      </w:r>
    </w:p>
    <w:p>
      <w:pPr>
        <w:spacing w:line="4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 xml:space="preserve"> </w:t>
      </w:r>
    </w:p>
    <w:tbl>
      <w:tblPr>
        <w:tblStyle w:val="6"/>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一</w:t>
            </w:r>
            <w:r>
              <w:rPr>
                <w:rFonts w:hint="eastAsia" w:ascii="黑体" w:hAnsi="黑体" w:eastAsia="黑体" w:cs="宋体"/>
                <w:color w:val="000000"/>
                <w:kern w:val="0"/>
                <w:sz w:val="20"/>
                <w:szCs w:val="20"/>
                <w:lang w:val="en-US" w:eastAsia="zh-CN"/>
              </w:rPr>
              <w:t xml:space="preserve">  </w:t>
            </w:r>
            <w:r>
              <w:rPr>
                <w:rFonts w:hint="eastAsia" w:ascii="黑体" w:hAnsi="黑体" w:eastAsia="黑体" w:cs="宋体"/>
                <w:color w:val="000000"/>
                <w:kern w:val="0"/>
                <w:sz w:val="20"/>
                <w:szCs w:val="20"/>
              </w:rPr>
              <w:t>级</w:t>
            </w:r>
          </w:p>
          <w:p>
            <w:pPr>
              <w:widowControl/>
              <w:spacing w:line="2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w:t>
            </w:r>
            <w:r>
              <w:rPr>
                <w:rFonts w:hint="eastAsia" w:ascii="黑体" w:hAnsi="黑体" w:eastAsia="黑体" w:cs="宋体"/>
                <w:color w:val="000000"/>
                <w:kern w:val="0"/>
                <w:sz w:val="20"/>
                <w:szCs w:val="20"/>
                <w:lang w:val="en-US" w:eastAsia="zh-CN"/>
              </w:rPr>
              <w:t xml:space="preserve">  </w:t>
            </w:r>
            <w:r>
              <w:rPr>
                <w:rFonts w:hint="eastAsia" w:ascii="黑体" w:hAnsi="黑体" w:eastAsia="黑体" w:cs="宋体"/>
                <w:color w:val="000000"/>
                <w:kern w:val="0"/>
                <w:sz w:val="20"/>
                <w:szCs w:val="20"/>
              </w:rPr>
              <w:t>标</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二</w:t>
            </w:r>
            <w:r>
              <w:rPr>
                <w:rFonts w:hint="eastAsia" w:ascii="黑体" w:hAnsi="黑体" w:eastAsia="黑体" w:cs="宋体"/>
                <w:color w:val="000000"/>
                <w:kern w:val="0"/>
                <w:sz w:val="20"/>
                <w:szCs w:val="20"/>
                <w:lang w:val="en-US" w:eastAsia="zh-CN"/>
              </w:rPr>
              <w:t xml:space="preserve">  </w:t>
            </w:r>
            <w:r>
              <w:rPr>
                <w:rFonts w:hint="eastAsia" w:ascii="黑体" w:hAnsi="黑体" w:eastAsia="黑体" w:cs="宋体"/>
                <w:color w:val="000000"/>
                <w:kern w:val="0"/>
                <w:sz w:val="20"/>
                <w:szCs w:val="20"/>
              </w:rPr>
              <w:t>级</w:t>
            </w:r>
          </w:p>
          <w:p>
            <w:pPr>
              <w:widowControl/>
              <w:spacing w:line="2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w:t>
            </w:r>
            <w:r>
              <w:rPr>
                <w:rFonts w:hint="eastAsia" w:ascii="黑体" w:hAnsi="黑体" w:eastAsia="黑体" w:cs="宋体"/>
                <w:color w:val="000000"/>
                <w:kern w:val="0"/>
                <w:sz w:val="20"/>
                <w:szCs w:val="20"/>
                <w:lang w:val="en-US" w:eastAsia="zh-CN"/>
              </w:rPr>
              <w:t xml:space="preserve">  </w:t>
            </w:r>
            <w:r>
              <w:rPr>
                <w:rFonts w:hint="eastAsia" w:ascii="黑体" w:hAnsi="黑体" w:eastAsia="黑体" w:cs="宋体"/>
                <w:color w:val="000000"/>
                <w:kern w:val="0"/>
                <w:sz w:val="20"/>
                <w:szCs w:val="20"/>
              </w:rPr>
              <w:t>标</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三</w:t>
            </w:r>
            <w:r>
              <w:rPr>
                <w:rFonts w:hint="eastAsia" w:ascii="黑体" w:hAnsi="黑体" w:eastAsia="黑体" w:cs="宋体"/>
                <w:color w:val="000000"/>
                <w:kern w:val="0"/>
                <w:sz w:val="20"/>
                <w:szCs w:val="20"/>
                <w:lang w:val="en-US" w:eastAsia="zh-CN"/>
              </w:rPr>
              <w:t xml:space="preserve">  </w:t>
            </w:r>
            <w:r>
              <w:rPr>
                <w:rFonts w:hint="eastAsia" w:ascii="黑体" w:hAnsi="黑体" w:eastAsia="黑体" w:cs="宋体"/>
                <w:color w:val="000000"/>
                <w:kern w:val="0"/>
                <w:sz w:val="20"/>
                <w:szCs w:val="20"/>
              </w:rPr>
              <w:t>级</w:t>
            </w:r>
          </w:p>
          <w:p>
            <w:pPr>
              <w:widowControl/>
              <w:spacing w:line="2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w:t>
            </w:r>
            <w:r>
              <w:rPr>
                <w:rFonts w:hint="eastAsia" w:ascii="黑体" w:hAnsi="黑体" w:eastAsia="黑体" w:cs="宋体"/>
                <w:color w:val="000000"/>
                <w:kern w:val="0"/>
                <w:sz w:val="20"/>
                <w:szCs w:val="20"/>
                <w:lang w:val="en-US" w:eastAsia="zh-CN"/>
              </w:rPr>
              <w:t xml:space="preserve">  </w:t>
            </w:r>
            <w:r>
              <w:rPr>
                <w:rFonts w:hint="eastAsia" w:ascii="黑体" w:hAnsi="黑体" w:eastAsia="黑体" w:cs="宋体"/>
                <w:color w:val="000000"/>
                <w:kern w:val="0"/>
                <w:sz w:val="20"/>
                <w:szCs w:val="20"/>
              </w:rPr>
              <w:t>标</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ind w:firstLine="1180" w:firstLineChars="590"/>
              <w:jc w:val="both"/>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ind w:firstLine="1580" w:firstLineChars="790"/>
              <w:jc w:val="both"/>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both"/>
              <w:rPr>
                <w:rFonts w:hint="eastAsia" w:ascii="仿宋_GB2312" w:hAnsi="宋体"/>
                <w:color w:val="000000"/>
                <w:kern w:val="0"/>
                <w:sz w:val="20"/>
                <w:szCs w:val="20"/>
              </w:rPr>
            </w:pPr>
            <w:r>
              <w:rPr>
                <w:rFonts w:hint="eastAsia" w:ascii="仿宋_GB2312" w:hAnsi="宋体"/>
                <w:color w:val="000000"/>
                <w:kern w:val="0"/>
                <w:sz w:val="20"/>
                <w:szCs w:val="20"/>
              </w:rPr>
              <w:t>项</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目</w:t>
            </w:r>
          </w:p>
          <w:p>
            <w:pPr>
              <w:widowControl/>
              <w:spacing w:line="260" w:lineRule="exact"/>
              <w:jc w:val="both"/>
              <w:rPr>
                <w:rFonts w:hint="eastAsia" w:ascii="仿宋_GB2312" w:hAnsi="宋体"/>
                <w:color w:val="000000"/>
                <w:kern w:val="0"/>
                <w:sz w:val="20"/>
                <w:szCs w:val="20"/>
              </w:rPr>
            </w:pPr>
            <w:r>
              <w:rPr>
                <w:rFonts w:hint="eastAsia" w:ascii="仿宋_GB2312" w:hAnsi="宋体"/>
                <w:color w:val="000000"/>
                <w:kern w:val="0"/>
                <w:sz w:val="20"/>
                <w:szCs w:val="20"/>
              </w:rPr>
              <w:t>决</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策</w:t>
            </w:r>
          </w:p>
          <w:p>
            <w:pPr>
              <w:widowControl/>
              <w:spacing w:line="260" w:lineRule="exact"/>
              <w:jc w:val="both"/>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lang w:val="en-US" w:eastAsia="zh-CN"/>
              </w:rPr>
              <w:t>18</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目</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目</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标</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标</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内</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容</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决</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策</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过</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程</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lang w:val="en-US" w:eastAsia="zh-CN"/>
              </w:rPr>
              <w:t>7</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策</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依</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据</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策</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程</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序</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资</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金</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分</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配</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lang w:val="en-US" w:eastAsia="zh-CN"/>
              </w:rPr>
              <w:t>7</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分</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配</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办</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法</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分</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配</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结</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果</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项</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目</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资</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金</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到</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位</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到位率</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到</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位</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时</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效</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资</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金</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管</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理</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金</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使</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用</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0"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务</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管</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理</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组</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织</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实</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施</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组</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织</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机</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构</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241" w:leftChars="115" w:firstLine="200" w:firstLineChars="1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目</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实</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施</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0"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理</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制</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度</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6</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2"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jc w:val="both"/>
              <w:rPr>
                <w:rFonts w:hint="eastAsia" w:ascii="仿宋_GB2312" w:hAnsi="宋体"/>
                <w:color w:val="000000"/>
                <w:kern w:val="0"/>
                <w:sz w:val="20"/>
                <w:szCs w:val="20"/>
              </w:rPr>
            </w:pPr>
            <w:r>
              <w:rPr>
                <w:rFonts w:hint="eastAsia" w:ascii="仿宋_GB2312" w:hAnsi="宋体"/>
                <w:color w:val="000000"/>
                <w:kern w:val="0"/>
                <w:sz w:val="20"/>
                <w:szCs w:val="20"/>
              </w:rPr>
              <w:t>项</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目</w:t>
            </w:r>
          </w:p>
          <w:p>
            <w:pPr>
              <w:widowControl/>
              <w:spacing w:line="260" w:lineRule="exact"/>
              <w:jc w:val="both"/>
              <w:rPr>
                <w:rFonts w:hint="eastAsia" w:ascii="仿宋_GB2312" w:hAnsi="宋体"/>
                <w:color w:val="000000"/>
                <w:kern w:val="0"/>
                <w:sz w:val="20"/>
                <w:szCs w:val="20"/>
              </w:rPr>
            </w:pPr>
            <w:r>
              <w:rPr>
                <w:rFonts w:hint="eastAsia" w:ascii="仿宋_GB2312" w:hAnsi="宋体"/>
                <w:color w:val="000000"/>
                <w:kern w:val="0"/>
                <w:sz w:val="20"/>
                <w:szCs w:val="20"/>
              </w:rPr>
              <w:t>绩</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效</w:t>
            </w:r>
          </w:p>
          <w:p>
            <w:pPr>
              <w:widowControl/>
              <w:spacing w:line="260" w:lineRule="exact"/>
              <w:jc w:val="both"/>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项</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目</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产</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出</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出</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数</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量</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3"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出</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质</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量</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出</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时</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效</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出</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成</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本</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项</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目</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效</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果</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经</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济</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效</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益</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社</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会</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效</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益</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环</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境</w:t>
            </w:r>
          </w:p>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效</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益</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color w:val="000000"/>
                <w:kern w:val="0"/>
                <w:sz w:val="20"/>
                <w:szCs w:val="20"/>
              </w:rPr>
            </w:pPr>
            <w:r>
              <w:rPr>
                <w:rFonts w:hint="eastAsia" w:ascii="仿宋_GB2312" w:hAnsi="宋体"/>
                <w:color w:val="000000"/>
                <w:kern w:val="0"/>
                <w:sz w:val="20"/>
                <w:szCs w:val="20"/>
              </w:rPr>
              <w:t>可持续影</w:t>
            </w:r>
            <w:r>
              <w:rPr>
                <w:rFonts w:hint="eastAsia" w:ascii="仿宋_GB2312" w:hAnsi="宋体"/>
                <w:color w:val="000000"/>
                <w:kern w:val="0"/>
                <w:sz w:val="20"/>
                <w:szCs w:val="20"/>
                <w:lang w:val="en-US" w:eastAsia="zh-CN"/>
              </w:rPr>
              <w:t xml:space="preserve">  </w:t>
            </w:r>
            <w:r>
              <w:rPr>
                <w:rFonts w:hint="eastAsia" w:ascii="仿宋_GB2312" w:hAnsi="宋体"/>
                <w:color w:val="000000"/>
                <w:kern w:val="0"/>
                <w:sz w:val="20"/>
                <w:szCs w:val="20"/>
              </w:rPr>
              <w:t>响</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both"/>
              <w:rPr>
                <w:rFonts w:hint="eastAsia" w:ascii="仿宋_GB2312" w:hAnsi="宋体"/>
                <w:color w:val="000000"/>
                <w:kern w:val="0"/>
                <w:sz w:val="20"/>
                <w:szCs w:val="20"/>
              </w:rPr>
            </w:pPr>
            <w:r>
              <w:rPr>
                <w:rFonts w:hint="eastAsia" w:ascii="仿宋_GB2312" w:hAnsi="宋体"/>
                <w:color w:val="000000"/>
                <w:kern w:val="0"/>
                <w:sz w:val="20"/>
                <w:szCs w:val="20"/>
              </w:rPr>
              <w:t>服务对象满意度</w:t>
            </w:r>
          </w:p>
          <w:p>
            <w:pPr>
              <w:widowControl/>
              <w:spacing w:line="260" w:lineRule="exact"/>
              <w:jc w:val="both"/>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hint="eastAsia" w:ascii="黑体" w:hAnsi="黑体" w:eastAsia="黑体"/>
                <w:color w:val="000000"/>
                <w:kern w:val="0"/>
                <w:sz w:val="20"/>
                <w:szCs w:val="20"/>
                <w:lang w:val="en-US" w:eastAsia="zh-CN"/>
              </w:rPr>
              <w:t xml:space="preserve">  </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200" w:firstLineChars="100"/>
              <w:jc w:val="both"/>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97</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ind w:firstLine="640"/>
        <w:rPr>
          <w:rFonts w:hint="eastAsia" w:ascii="仿宋_GB2312" w:hAnsi="宋体"/>
          <w:color w:val="000000"/>
        </w:rPr>
      </w:pPr>
      <w:r>
        <w:rPr>
          <w:rFonts w:hint="eastAsia" w:ascii="仿宋_GB2312" w:hAnsi="宋体"/>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pStyle w:val="2"/>
        <w:rPr>
          <w:rFonts w:hint="eastAsia" w:ascii="仿宋_GB2312" w:eastAsia="仿宋_GB2312"/>
          <w:color w:val="000000"/>
        </w:rPr>
      </w:pPr>
    </w:p>
    <w:p>
      <w:pPr>
        <w:rPr>
          <w:rFonts w:hint="eastAsia" w:ascii="仿宋_GB2312" w:eastAsia="仿宋_GB2312"/>
          <w:color w:val="000000"/>
        </w:rPr>
      </w:pPr>
    </w:p>
    <w:p>
      <w:pPr>
        <w:pStyle w:val="2"/>
        <w:rPr>
          <w:rFonts w:hint="eastAsia" w:ascii="仿宋_GB2312" w:eastAsia="仿宋_GB2312"/>
          <w:color w:val="000000"/>
        </w:rPr>
      </w:pPr>
    </w:p>
    <w:p>
      <w:pPr>
        <w:rPr>
          <w:rFonts w:hint="eastAsia" w:ascii="仿宋_GB2312" w:eastAsia="仿宋_GB2312"/>
          <w:color w:val="000000"/>
        </w:rPr>
      </w:pPr>
    </w:p>
    <w:p>
      <w:pPr>
        <w:pStyle w:val="2"/>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部门整体支出绩效评价报告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根据《南县财政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关于做好2020年度预算绩效自评工作的通知》（南财绩函〔2021〕3号）文件精神，我会成立了由党组书记任组长的绩效评价工作小组，对我会2020年度部门预算整体支出绩效进行全面综合评价。整体支出分基本支出和项目支出两部分，基本支出的评价重点是厉行节约保运转，降低行政运行成本；项目支出的评价重点是规范管理促发展，做到专款专用，提高资金使用效益。经相关业务股室全面综合评价，我会2020年度部门整体支出绩效自评分为98分。现将自评情况汇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（一）部门整体支出规模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2020年我会严格按照工会《财务管理制度》执行财务收支管理，认真执行县财政国库集中支付核算制度，严格依法依规依程序进行政府采购，坚持公开公平公正。2020年部门决算收入145.68万元，支出145.68万元。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1.基本支出情况：基本支出126.55万元，（人员支出123.55万元，占基本支出97.63%；公用经费支出3万元，占基本支出3.37%，公用经费控制率为100%），主要是为保障行政机关管理工作正常运转而发生的必要费用。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2.项目支出情况：项目支出19.13万元，主要用于帮扶帮困和门面税金等工作。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（二）部门整体支出绩效目标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1.认真贯彻落实上级要求，发挥广大职工的主体作用；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2.主动作为，敢于担当，做好工会创建工作；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3.加强工会自身建设，全面提高工会干部谋划、设计、组织、指挥、协调、落实的能力，推动工会各项工作上一个台阶。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（三）部门整体支出实施情况分析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实施县委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县政府开展的各项工作，积极投入特色职工之家建设，打造了一批特色鲜明、服务到位基层工会阵地，提升我县基层工会规范化建设整体水平。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顺利完成总工会第十四届委员会换届工作。通过周密安排，依据《</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工会法》和《选举法》，严格按照程序要求和相关规定，顺利完成总工会的换届工作。出席大会正式代表217名，特邀市县领导17名，选举产生了工会第十四届委员会委员39名、经审委员会委员5名，严格按照省市规定，配齐了相关组成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二、绩效评价工作情况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（一）绩效评价目的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我会在县委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县政府的领导下，加强工会阵地建设，保障职工权益，帮扶困难职工。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（二）绩效评价工作过程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我单位成立了绩效评价工作小组，明确了工作职责和分工，制定了切实可行的方案。根据各业务部室的情况汇报和提交工作计划、工作总结等资料，确定评价指标、评价标准和评价方法统一打分，形成自评结论。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我会2020年度严格执行年初部门预算，资金使用及管理规范，制度落实到位，绩效考核目标任务圆满完成，按照部门整体支出绩效评价指标体系对照打分得出结果为98分，登记为优秀。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三、主要绩效及评价结论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维权、帮扶、教育是工会的四大职能。全年围绕主业，做好工作，筑强根基。建强基层，以创建和考核为抓手，促进工会组织健康发展。将工会经费用于基层工会及职工群众，在全县基层工会建设中投入了大量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四、存在的问题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主要存在的问题是使用公务卡方面需要进一步加强。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五、有关建议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建议县财政按照</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财政部、湖南省财政厅、南县财政局发布的《关于财政拨款的行政事业单位计拨工会经费有关问题的通知》的规定，足额将预算机关事业单位的工会经费拨缴至每个单位基层工会。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项目支出绩效评价报告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（一）项目基本情况简介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2015年11月底，习近平总书记出席中央扶贫开发工作会议并作了重要讲话，全面分析建成小康社会进入决胜阶段脱贫攻坚面临的形势和任务，动员全党全国全社会力量，齐心协力打赢脱贫攻坚战，确保到 2020年所有贫困地区和贫困人口一道迈入全面</w:t>
      </w:r>
      <w:r>
        <w:rPr>
          <w:rFonts w:hint="eastAsia" w:ascii="仿宋_GB2312" w:hAnsi="仿宋_GB2312" w:eastAsia="仿宋_GB2312" w:cs="仿宋_GB2312"/>
          <w:sz w:val="32"/>
          <w:szCs w:val="32"/>
          <w:lang w:val="en-US" w:eastAsia="zh-CN"/>
        </w:rPr>
        <w:t>建成</w:t>
      </w:r>
      <w:bookmarkStart w:id="0" w:name="_GoBack"/>
      <w:bookmarkEnd w:id="0"/>
      <w:r>
        <w:rPr>
          <w:rFonts w:hint="eastAsia" w:ascii="仿宋_GB2312" w:hAnsi="仿宋_GB2312" w:eastAsia="仿宋_GB2312" w:cs="仿宋_GB2312"/>
          <w:sz w:val="32"/>
          <w:szCs w:val="32"/>
        </w:rPr>
        <w:t>小康社会。各级工会组织在党委领导和政府主导下发挥桥梁纽带作用，顺势发力、聚焦发力，精准帮扶困难职工解困脱困。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（二）绩效指标完成情况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我会项目资金年初预算19.13万元。目前使用专项帮扶困难职工资金17万元，缴纳门面税金2.13万元，现已全部完成。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二、绩效评价工作情况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（一）绩效评价目的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通过绩效评价全面分析帮扶专项资金使用、管理和项目实施情况，系统整理与分析项目实施中存在的主要问题，提出改善帮扶项目后续管理的建议，并为项目完善资金投入、分配、管理和监督等提供决策依据。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（二）项目组织情况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帮扶对象范围，制定帮扶标准，经各基层工会申报、县总工会入户调查困难职工信息，审核困难帮扶对象资料等工作。以缓解困难和摆脱困难为主要目标，充分发挥工会组织拾遗补缺作用，通过健全完善精准建档工作，重点围绕生活保障、子女就学、医疗救助等方面提供工会组织力所能及的帮助，确保对深度困难职工帮困全覆盖，缓解困难职工的家庭困难；进一步把关爱困难职工的工作做深做细做实，整合社会资源，凝聚工会力量，推动完善社会救助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（三）项目资金监督管理情况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南县财政局是政府财政资金主管部门，负责建立政府预算项目库，负责财政部门预算、财政专项资金的预算管理、执行监督、决算审批，财政国库资金拨付，对财政支出绩效评价全面监管。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三、项目支出绩效自评得分情况（97）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（一）项目决策（</w:t>
      </w:r>
      <w:r>
        <w:rPr>
          <w:rFonts w:hint="eastAsia" w:ascii="楷体" w:hAnsi="楷体" w:eastAsia="楷体" w:cs="楷体"/>
          <w:sz w:val="32"/>
          <w:szCs w:val="32"/>
          <w:lang w:val="en-US" w:eastAsia="zh-CN"/>
        </w:rPr>
        <w:t>18分</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（1）项目目标4分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县工会对帮扶专项资金的使用设立了明确的目标，且目标细化、量化到了具体的每一项工作，该项指标得4分。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（2）决策过程7分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决策依据4分：帮扶专项资金的使用符合《困难职工帮扶办法》的规定，制定了2020年度科普工作计划；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决策程序3分：项目资金的使用符合申报条件，批复及时，该项指标得3分。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（3）资金分配7分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分配办法3分：县总工会制定了帮扶专项资金管理办法，管理办法中有明确的资金分配办法，资金分配因素全面合理。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分配结果方面4分：根据年初制定的预算计划，各项工作的开展与资金的使用方面与年初计划及资金分配办法存在一定的出入，但总体上分配公平合理。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（二）项目管理（25分）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（1）资金到位5分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到位率3分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2020年度县财政给县总工会19.13万元专项帮扶资金，实际到位19.13万元。（县财政预算批复）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到位实效2分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资金到位及时，没有影响帮扶工作的开展。（佐证资料：县财政预算批复）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（2）资金管理10分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资金使用7分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资金依法依规给付，无截留挤兑挪用情况、无超标准开支情况。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财务管理3分：县总工会制定了财务管理制度，坚持一支笔审批制度，费用支出需经手人、证明人、财务领导签字后才能予以报销，会计核算规范。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（3）组织实施10分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组织机构1分：县总工会成立了专项资金管理领导小组，分工明确。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项目实施3分：根据困难职工的实际情况，合理安排各项帮扶工作，并在相应的时间内完成困难职工帮扶任务。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管理制度6分：帮扶专项资金管理制度健全，在使用过程严格执行了相关管理制度。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（三）项目绩效（54分）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（1）项目产出15分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产出数量5分：根据年初制定的工作计划和预算编制计划，县总工会完成了年初制定了帮扶工作目标。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产出质量4分：体现了总工会对困难职工的关心，体现了精准帮困原则，有利于达到 2020 年困难职工同步脱困解困的目的。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产出实效3分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每一项项目的开展，在规定的时间内完成。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产出成本3分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2020年帮扶专项经费预算资金17万元，到位17万元，实际支出科普专项经费17万元。（佐证资料：预算批复、支出明细）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（2）项目效果39分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经济效益7分：通过对困难职工的帮扶，解决职工燃眉之急，推动复工复产。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社会效益8分：从帮扶结果看，受帮扶的困难职工对项目实施过程和取得的社会效益总体较为满意，体现了党和政府以及全社会对困难职工的关心，体现了精准帮困原则，有利于达到 2020 年困难职工同步迈入小康社会的目标实现。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环境效益8分：困难职工帮扶项目未造成任何环境问题。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可持续影响8分：根据省总工会的统一部署和安排，继续叫响做实“送温暖”、“金秋助学”等工会帮扶品牌。困难职工帮扶中心专项资金的投入，有力地促进了工会帮扶工作的开展，推动了帮扶工作制度化、标准化、规范化、常态化，提高了帮扶工作水平，使工会特色的帮扶工作得到规范，并迈上新的台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服务对象满意度8分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通过对困难职工电话回访调查，对帮扶工作（含政策的制定、工作方式、工作态度等）满意。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四、存在的问题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本项目帮扶资金，县财政局要求逐年减少，导致帮扶力度逐年降低。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五、项目的改进措施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仿宋_GB2312" w:cs="仿宋_GB2312"/>
          <w:sz w:val="32"/>
          <w:szCs w:val="32"/>
        </w:rPr>
        <w:t>县总工会进一步健全完善项目实施操作程序，对深度困难职工主动关怀，帮助困难职工了解政府和工会帮扶困难职工的政策精神，对帮扶金发放后困难家庭解困情况及时掌握并传递给政府，以确实将党和政府、工会组织对困难职工关心帮助落实到家。</w:t>
      </w:r>
      <w:r>
        <w:rPr>
          <w:rFonts w:hint="eastAsia"/>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xY2QzMmNmMTBkNzZlNGY2YjIwMjEwMTVlY2E1ZDkifQ=="/>
  </w:docVars>
  <w:rsids>
    <w:rsidRoot w:val="00CB31FE"/>
    <w:rsid w:val="00670E51"/>
    <w:rsid w:val="00BE467A"/>
    <w:rsid w:val="00CB31FE"/>
    <w:rsid w:val="016A5B1D"/>
    <w:rsid w:val="04094999"/>
    <w:rsid w:val="0CC806BF"/>
    <w:rsid w:val="1DB660D2"/>
    <w:rsid w:val="23D101C4"/>
    <w:rsid w:val="24A82F2E"/>
    <w:rsid w:val="2656362E"/>
    <w:rsid w:val="2B5F1F09"/>
    <w:rsid w:val="2EE97D2A"/>
    <w:rsid w:val="42382817"/>
    <w:rsid w:val="42983C81"/>
    <w:rsid w:val="4A091F92"/>
    <w:rsid w:val="4C256E3D"/>
    <w:rsid w:val="54091267"/>
    <w:rsid w:val="639242CC"/>
    <w:rsid w:val="63D55F3C"/>
    <w:rsid w:val="6DB67039"/>
    <w:rsid w:val="6E2F4487"/>
    <w:rsid w:val="740C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4">
    <w:name w:val="heading 3"/>
    <w:basedOn w:val="1"/>
    <w:next w:val="1"/>
    <w:link w:val="9"/>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5">
    <w:name w:val="Normal (Web)"/>
    <w:basedOn w:val="1"/>
    <w:semiHidden/>
    <w:unhideWhenUsed/>
    <w:qFormat/>
    <w:uiPriority w:val="99"/>
    <w:rPr>
      <w:sz w:val="24"/>
    </w:rPr>
  </w:style>
  <w:style w:type="character" w:customStyle="1" w:styleId="8">
    <w:name w:val="标题 1 字符"/>
    <w:basedOn w:val="7"/>
    <w:link w:val="3"/>
    <w:qFormat/>
    <w:uiPriority w:val="9"/>
    <w:rPr>
      <w:rFonts w:ascii="Calibri" w:hAnsi="Calibri" w:eastAsia="方正小标宋_GBK" w:cs="Calibri"/>
      <w:bCs/>
      <w:kern w:val="44"/>
      <w:sz w:val="44"/>
      <w:szCs w:val="44"/>
    </w:rPr>
  </w:style>
  <w:style w:type="character" w:customStyle="1" w:styleId="9">
    <w:name w:val="标题 3 字符"/>
    <w:basedOn w:val="7"/>
    <w:link w:val="4"/>
    <w:qFormat/>
    <w:uiPriority w:val="9"/>
    <w:rPr>
      <w:rFonts w:ascii="Calibri" w:hAnsi="Calibri" w:eastAsia="楷体" w:cs="Calibri"/>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8274</Words>
  <Characters>8568</Characters>
  <Lines>48</Lines>
  <Paragraphs>13</Paragraphs>
  <TotalTime>1</TotalTime>
  <ScaleCrop>false</ScaleCrop>
  <LinksUpToDate>false</LinksUpToDate>
  <CharactersWithSpaces>8763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Administrator</cp:lastModifiedBy>
  <cp:lastPrinted>2021-06-28T09:06:00Z</cp:lastPrinted>
  <dcterms:modified xsi:type="dcterms:W3CDTF">2023-03-19T13:47:21Z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DE7B5ADB26B54464BBE0B1DBD2801A8E</vt:lpwstr>
  </property>
</Properties>
</file>