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749"/>
        </w:tabs>
        <w:jc w:val="left"/>
        <w:rPr>
          <w:rFonts w:hint="eastAsia" w:ascii="黑体" w:hAnsi="仿宋_GB2312" w:eastAsia="黑体"/>
          <w:sz w:val="32"/>
          <w:szCs w:val="32"/>
          <w:lang w:val="en-US" w:eastAsia="zh-CN"/>
        </w:rPr>
      </w:pPr>
      <w:r>
        <w:rPr>
          <w:rFonts w:hint="eastAsia" w:ascii="黑体" w:hAnsi="仿宋_GB2312" w:eastAsia="黑体"/>
          <w:sz w:val="32"/>
          <w:szCs w:val="32"/>
        </w:rPr>
        <w:t>附件</w:t>
      </w:r>
    </w:p>
    <w:p>
      <w:pPr>
        <w:jc w:val="both"/>
        <w:rPr>
          <w:rFonts w:ascii="黑体" w:hAnsi="宋体" w:eastAsia="黑体"/>
          <w:sz w:val="22"/>
          <w:szCs w:val="22"/>
        </w:rPr>
      </w:pPr>
    </w:p>
    <w:p>
      <w:pPr>
        <w:jc w:val="center"/>
        <w:rPr>
          <w:rFonts w:ascii="黑体" w:hAnsi="宋体" w:eastAsia="黑体"/>
          <w:sz w:val="22"/>
          <w:szCs w:val="22"/>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2022年度绩效考核评分表</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tbl>
      <w:tblPr>
        <w:tblStyle w:val="6"/>
        <w:tblW w:w="7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2"/>
        <w:gridCol w:w="3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jc w:val="center"/>
        </w:trPr>
        <w:tc>
          <w:tcPr>
            <w:tcW w:w="4602" w:type="dxa"/>
            <w:vAlign w:val="center"/>
          </w:tcPr>
          <w:p>
            <w:pPr>
              <w:spacing w:line="240" w:lineRule="auto"/>
              <w:jc w:val="distribute"/>
              <w:rPr>
                <w:rFonts w:hint="eastAsia" w:ascii="方正小标宋简体" w:hAnsi="方正小标宋简体" w:eastAsia="方正小标宋简体" w:cs="方正小标宋简体"/>
                <w:spacing w:val="0"/>
                <w:sz w:val="44"/>
                <w:szCs w:val="44"/>
                <w:vertAlign w:val="baseline"/>
                <w:lang w:val="en-US" w:eastAsia="zh-CN"/>
              </w:rPr>
            </w:pPr>
            <w:r>
              <w:rPr>
                <w:rFonts w:hint="eastAsia" w:ascii="方正仿宋简体" w:hAnsi="方正仿宋简体" w:eastAsia="方正仿宋简体" w:cs="方正仿宋简体"/>
                <w:spacing w:val="0"/>
                <w:sz w:val="32"/>
                <w:szCs w:val="32"/>
                <w:lang w:val="en-US" w:eastAsia="zh-CN"/>
              </w:rPr>
              <w:t>填报单位（盖章）</w:t>
            </w:r>
          </w:p>
        </w:tc>
        <w:tc>
          <w:tcPr>
            <w:tcW w:w="3057" w:type="dxa"/>
            <w:vAlign w:val="center"/>
          </w:tcPr>
          <w:p>
            <w:pPr>
              <w:spacing w:line="240" w:lineRule="auto"/>
              <w:jc w:val="both"/>
              <w:rPr>
                <w:rFonts w:hint="eastAsia" w:ascii="方正小标宋简体" w:hAnsi="方正小标宋简体" w:eastAsia="方正小标宋简体" w:cs="方正小标宋简体"/>
                <w:spacing w:val="-23"/>
                <w:sz w:val="44"/>
                <w:szCs w:val="44"/>
                <w:vertAlign w:val="baseline"/>
                <w:lang w:val="en-US" w:eastAsia="zh-CN"/>
              </w:rPr>
            </w:pPr>
            <w:r>
              <w:rPr>
                <w:rFonts w:hint="eastAsia" w:ascii="方正仿宋简体" w:hAnsi="方正仿宋简体" w:eastAsia="方正仿宋简体" w:cs="方正仿宋简体"/>
                <w:spacing w:val="-23"/>
                <w:sz w:val="32"/>
                <w:szCs w:val="32"/>
                <w:u w:val="single"/>
                <w:lang w:val="en-US" w:eastAsia="zh-CN"/>
              </w:rPr>
              <w:t xml:space="preserve">    南县交通运输局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jc w:val="center"/>
        </w:trPr>
        <w:tc>
          <w:tcPr>
            <w:tcW w:w="4602" w:type="dxa"/>
            <w:vAlign w:val="center"/>
          </w:tcPr>
          <w:p>
            <w:pPr>
              <w:spacing w:line="240" w:lineRule="auto"/>
              <w:jc w:val="distribute"/>
              <w:rPr>
                <w:rFonts w:hint="eastAsia" w:ascii="方正小标宋简体" w:hAnsi="方正小标宋简体" w:eastAsia="方正小标宋简体" w:cs="方正小标宋简体"/>
                <w:spacing w:val="0"/>
                <w:sz w:val="44"/>
                <w:szCs w:val="44"/>
                <w:vertAlign w:val="baseline"/>
                <w:lang w:val="en-US" w:eastAsia="zh-CN"/>
              </w:rPr>
            </w:pPr>
            <w:r>
              <w:rPr>
                <w:rFonts w:hint="eastAsia" w:ascii="方正仿宋简体" w:hAnsi="方正仿宋简体" w:eastAsia="方正仿宋简体" w:cs="方正仿宋简体"/>
                <w:spacing w:val="0"/>
                <w:sz w:val="32"/>
                <w:szCs w:val="32"/>
                <w:lang w:val="en-US" w:eastAsia="zh-CN"/>
              </w:rPr>
              <w:t>指标名称</w:t>
            </w:r>
          </w:p>
        </w:tc>
        <w:tc>
          <w:tcPr>
            <w:tcW w:w="3057" w:type="dxa"/>
            <w:vAlign w:val="center"/>
          </w:tcPr>
          <w:p>
            <w:pPr>
              <w:spacing w:line="240" w:lineRule="auto"/>
              <w:jc w:val="both"/>
              <w:rPr>
                <w:rFonts w:hint="eastAsia" w:ascii="方正小标宋简体" w:hAnsi="方正小标宋简体" w:eastAsia="方正小标宋简体" w:cs="方正小标宋简体"/>
                <w:spacing w:val="-23"/>
                <w:sz w:val="44"/>
                <w:szCs w:val="44"/>
                <w:vertAlign w:val="baseline"/>
                <w:lang w:val="en-US" w:eastAsia="zh-CN"/>
              </w:rPr>
            </w:pPr>
            <w:r>
              <w:rPr>
                <w:rFonts w:hint="eastAsia" w:ascii="方正仿宋简体" w:hAnsi="方正仿宋简体" w:eastAsia="方正仿宋简体" w:cs="方正仿宋简体"/>
                <w:spacing w:val="-23"/>
                <w:sz w:val="32"/>
                <w:szCs w:val="32"/>
                <w:u w:val="single"/>
                <w:lang w:val="en-US" w:eastAsia="zh-CN"/>
              </w:rPr>
              <w:t xml:space="preserve">   “四好”交通建设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jc w:val="center"/>
        </w:trPr>
        <w:tc>
          <w:tcPr>
            <w:tcW w:w="4602" w:type="dxa"/>
            <w:vAlign w:val="center"/>
          </w:tcPr>
          <w:p>
            <w:pPr>
              <w:spacing w:line="240" w:lineRule="auto"/>
              <w:jc w:val="distribute"/>
              <w:rPr>
                <w:rFonts w:hint="eastAsia" w:ascii="方正小标宋简体" w:hAnsi="方正小标宋简体" w:eastAsia="方正小标宋简体" w:cs="方正小标宋简体"/>
                <w:spacing w:val="0"/>
                <w:sz w:val="44"/>
                <w:szCs w:val="44"/>
                <w:vertAlign w:val="baseline"/>
                <w:lang w:val="en-US" w:eastAsia="zh-CN"/>
              </w:rPr>
            </w:pPr>
            <w:r>
              <w:rPr>
                <w:rFonts w:hint="eastAsia" w:ascii="方正仿宋简体" w:hAnsi="方正仿宋简体" w:eastAsia="方正仿宋简体" w:cs="方正仿宋简体"/>
                <w:spacing w:val="0"/>
                <w:sz w:val="32"/>
                <w:szCs w:val="32"/>
                <w:lang w:val="en-US" w:eastAsia="zh-CN"/>
              </w:rPr>
              <w:t>单位主要负责人（签字）</w:t>
            </w:r>
          </w:p>
        </w:tc>
        <w:tc>
          <w:tcPr>
            <w:tcW w:w="3057" w:type="dxa"/>
            <w:vAlign w:val="center"/>
          </w:tcPr>
          <w:p>
            <w:pPr>
              <w:spacing w:line="240" w:lineRule="auto"/>
              <w:jc w:val="both"/>
              <w:rPr>
                <w:rFonts w:hint="eastAsia" w:ascii="方正小标宋简体" w:hAnsi="方正小标宋简体" w:eastAsia="方正小标宋简体" w:cs="方正小标宋简体"/>
                <w:spacing w:val="-23"/>
                <w:sz w:val="44"/>
                <w:szCs w:val="44"/>
                <w:vertAlign w:val="baseline"/>
                <w:lang w:val="en-US" w:eastAsia="zh-CN"/>
              </w:rPr>
            </w:pPr>
            <w:r>
              <w:rPr>
                <w:rFonts w:hint="eastAsia" w:ascii="方正仿宋简体" w:hAnsi="方正仿宋简体" w:eastAsia="方正仿宋简体" w:cs="方正仿宋简体"/>
                <w:spacing w:val="-23"/>
                <w:sz w:val="32"/>
                <w:szCs w:val="32"/>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jc w:val="center"/>
        </w:trPr>
        <w:tc>
          <w:tcPr>
            <w:tcW w:w="4602" w:type="dxa"/>
            <w:vAlign w:val="center"/>
          </w:tcPr>
          <w:p>
            <w:pPr>
              <w:spacing w:line="240" w:lineRule="auto"/>
              <w:jc w:val="distribute"/>
              <w:rPr>
                <w:rFonts w:hint="eastAsia" w:ascii="方正小标宋简体" w:hAnsi="方正小标宋简体" w:eastAsia="方正小标宋简体" w:cs="方正小标宋简体"/>
                <w:spacing w:val="0"/>
                <w:sz w:val="44"/>
                <w:szCs w:val="44"/>
                <w:vertAlign w:val="baseline"/>
                <w:lang w:val="en-US" w:eastAsia="zh-CN"/>
              </w:rPr>
            </w:pPr>
            <w:r>
              <w:rPr>
                <w:rFonts w:hint="eastAsia" w:ascii="方正仿宋简体" w:hAnsi="方正仿宋简体" w:eastAsia="方正仿宋简体" w:cs="方正仿宋简体"/>
                <w:spacing w:val="0"/>
                <w:sz w:val="32"/>
                <w:szCs w:val="32"/>
                <w:lang w:val="en-US" w:eastAsia="zh-CN"/>
              </w:rPr>
              <w:t>分管县级领导（签字）</w:t>
            </w:r>
          </w:p>
        </w:tc>
        <w:tc>
          <w:tcPr>
            <w:tcW w:w="3057" w:type="dxa"/>
            <w:vAlign w:val="center"/>
          </w:tcPr>
          <w:p>
            <w:pPr>
              <w:spacing w:line="240" w:lineRule="auto"/>
              <w:jc w:val="both"/>
              <w:rPr>
                <w:rFonts w:hint="eastAsia" w:ascii="方正小标宋简体" w:hAnsi="方正小标宋简体" w:eastAsia="方正小标宋简体" w:cs="方正小标宋简体"/>
                <w:spacing w:val="-23"/>
                <w:sz w:val="44"/>
                <w:szCs w:val="44"/>
                <w:vertAlign w:val="baseline"/>
                <w:lang w:val="en-US" w:eastAsia="zh-CN"/>
              </w:rPr>
            </w:pPr>
            <w:r>
              <w:rPr>
                <w:rFonts w:hint="eastAsia" w:ascii="方正仿宋简体" w:hAnsi="方正仿宋简体" w:eastAsia="方正仿宋简体" w:cs="方正仿宋简体"/>
                <w:spacing w:val="-23"/>
                <w:sz w:val="32"/>
                <w:szCs w:val="32"/>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jc w:val="center"/>
        </w:trPr>
        <w:tc>
          <w:tcPr>
            <w:tcW w:w="4602" w:type="dxa"/>
            <w:vAlign w:val="center"/>
          </w:tcPr>
          <w:p>
            <w:pPr>
              <w:spacing w:line="240" w:lineRule="auto"/>
              <w:jc w:val="distribute"/>
              <w:rPr>
                <w:rFonts w:hint="eastAsia" w:ascii="方正仿宋简体" w:hAnsi="方正仿宋简体" w:eastAsia="方正仿宋简体" w:cs="方正仿宋简体"/>
                <w:sz w:val="32"/>
                <w:szCs w:val="32"/>
                <w:lang w:val="en-US" w:eastAsia="zh-CN"/>
              </w:rPr>
            </w:pPr>
          </w:p>
        </w:tc>
        <w:tc>
          <w:tcPr>
            <w:tcW w:w="3057" w:type="dxa"/>
            <w:vAlign w:val="center"/>
          </w:tcPr>
          <w:p>
            <w:pPr>
              <w:spacing w:line="240" w:lineRule="auto"/>
              <w:jc w:val="both"/>
              <w:rPr>
                <w:rFonts w:hint="eastAsia" w:ascii="方正仿宋简体" w:hAnsi="方正仿宋简体" w:eastAsia="方正仿宋简体" w:cs="方正仿宋简体"/>
                <w:sz w:val="32"/>
                <w:szCs w:val="32"/>
                <w:u w:val="single"/>
                <w:lang w:val="en-US" w:eastAsia="zh-CN"/>
              </w:rPr>
            </w:pPr>
          </w:p>
        </w:tc>
      </w:tr>
    </w:tbl>
    <w:p>
      <w:pPr>
        <w:jc w:val="center"/>
        <w:rPr>
          <w:rFonts w:hint="eastAsia" w:ascii="方正小标宋简体" w:hAnsi="方正小标宋简体" w:eastAsia="方正小标宋简体" w:cs="方正小标宋简体"/>
          <w:sz w:val="44"/>
          <w:szCs w:val="44"/>
          <w:lang w:val="en-US" w:eastAsia="zh-CN"/>
        </w:rPr>
        <w:sectPr>
          <w:pgSz w:w="11907" w:h="16840"/>
          <w:pgMar w:top="2098" w:right="1474" w:bottom="1984" w:left="1587" w:header="851" w:footer="1361" w:gutter="0"/>
          <w:pgNumType w:fmt="numberInDash"/>
          <w:cols w:space="0" w:num="1"/>
          <w:rtlGutter w:val="0"/>
          <w:docGrid w:linePitch="435" w:charSpace="0"/>
        </w:sect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考核评分具体要求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1．各考核单位根据考核细则对指标完成情况进行评分（请严格按绩考办法赋予的指标分折算后评分），报分管县级领导审核后进行公示，公示期限不少于三个工作日。禁止打分无依据、打“印象分”情形；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2．指标考评扣分起点为0.5分，扣分区间为0.5的整数倍，每序列最高分与最低分必须有10%以上的分差；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3．公示无异议后，请将单位主要负责人和分管县级领导签字后的考核评分表加盖单位公章，于2月8日前送县绩考办。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4．请严格按表格模板填写。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2022年度绩效考核评分表</w:t>
      </w:r>
    </w:p>
    <w:p>
      <w:pPr>
        <w:bidi w:val="0"/>
        <w:jc w:val="lef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u w:val="none"/>
          <w:lang w:val="en-US" w:eastAsia="zh-CN"/>
        </w:rPr>
        <w:t xml:space="preserve">  </w:t>
      </w:r>
    </w:p>
    <w:p>
      <w:pPr>
        <w:bidi w:val="0"/>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一、乡镇</w:t>
      </w:r>
    </w:p>
    <w:tbl>
      <w:tblPr>
        <w:tblStyle w:val="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9"/>
        <w:gridCol w:w="860"/>
        <w:gridCol w:w="2890"/>
        <w:gridCol w:w="929"/>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得分</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得分</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华阁镇</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8</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中鱼口镇</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9</w:t>
            </w:r>
          </w:p>
        </w:tc>
        <w:tc>
          <w:tcPr>
            <w:tcW w:w="116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明山头镇</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9</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南洲镇</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9</w:t>
            </w:r>
          </w:p>
        </w:tc>
        <w:tc>
          <w:tcPr>
            <w:tcW w:w="116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乌嘴乡</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8.5</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浪拔湖镇</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8</w:t>
            </w:r>
          </w:p>
        </w:tc>
        <w:tc>
          <w:tcPr>
            <w:tcW w:w="116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青树嘴镇</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9.5</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麻河口</w:t>
            </w:r>
            <w:r>
              <w:rPr>
                <w:rFonts w:hint="eastAsia" w:ascii="方正仿宋简体" w:hAnsi="方正仿宋简体" w:eastAsia="方正仿宋简体" w:cs="方正仿宋简体"/>
                <w:color w:val="auto"/>
                <w:spacing w:val="11"/>
                <w:sz w:val="26"/>
                <w:szCs w:val="26"/>
                <w:u w:val="none"/>
                <w:lang w:eastAsia="zh-CN"/>
              </w:rPr>
              <w:t>镇</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8.5</w:t>
            </w:r>
          </w:p>
        </w:tc>
        <w:tc>
          <w:tcPr>
            <w:tcW w:w="116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茅草街镇</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8.5</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武圣宫镇</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9</w:t>
            </w:r>
          </w:p>
        </w:tc>
        <w:tc>
          <w:tcPr>
            <w:tcW w:w="116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三仙湖镇</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9.5</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厂窖镇</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8.5</w:t>
            </w:r>
          </w:p>
        </w:tc>
        <w:tc>
          <w:tcPr>
            <w:tcW w:w="116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p>
        </w:tc>
      </w:tr>
    </w:tbl>
    <w:p>
      <w:pPr>
        <w:bidi w:val="0"/>
        <w:spacing w:line="240" w:lineRule="auto"/>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二、党群政务综合部门</w:t>
      </w:r>
    </w:p>
    <w:tbl>
      <w:tblPr>
        <w:tblStyle w:val="6"/>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2"/>
        <w:gridCol w:w="829"/>
        <w:gridCol w:w="2896"/>
        <w:gridCol w:w="941"/>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得分</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得分</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县委办</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妇联</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人大机关</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团县委</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政府办</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科协</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政协机关</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残联</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纪委监委（含</w:t>
            </w:r>
            <w:r>
              <w:rPr>
                <w:rFonts w:hint="eastAsia" w:ascii="方正仿宋简体" w:hAnsi="方正仿宋简体" w:eastAsia="方正仿宋简体" w:cs="方正仿宋简体"/>
                <w:color w:val="auto"/>
                <w:spacing w:val="11"/>
                <w:sz w:val="26"/>
                <w:szCs w:val="26"/>
                <w:u w:val="none"/>
              </w:rPr>
              <w:t>巡察</w:t>
            </w:r>
            <w:r>
              <w:rPr>
                <w:rFonts w:hint="eastAsia" w:ascii="方正仿宋简体" w:hAnsi="方正仿宋简体" w:eastAsia="方正仿宋简体" w:cs="方正仿宋简体"/>
                <w:color w:val="auto"/>
                <w:spacing w:val="11"/>
                <w:sz w:val="26"/>
                <w:szCs w:val="26"/>
                <w:u w:val="none"/>
                <w:lang w:eastAsia="zh-CN"/>
              </w:rPr>
              <w:t>机构</w:t>
            </w:r>
            <w:r>
              <w:rPr>
                <w:rFonts w:hint="eastAsia" w:ascii="方正仿宋简体" w:hAnsi="方正仿宋简体" w:eastAsia="方正仿宋简体" w:cs="方正仿宋简体"/>
                <w:color w:val="auto"/>
                <w:spacing w:val="11"/>
                <w:sz w:val="26"/>
                <w:szCs w:val="26"/>
                <w:u w:val="none"/>
                <w:lang w:val="en-US" w:eastAsia="zh-CN"/>
              </w:rPr>
              <w:t>）</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工商联</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县委组织部</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文联</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县委宣传部</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红十字会</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县委统战部</w:t>
            </w:r>
            <w:r>
              <w:rPr>
                <w:rFonts w:hint="eastAsia" w:ascii="方正仿宋简体" w:hAnsi="方正仿宋简体" w:eastAsia="方正仿宋简体" w:cs="方正仿宋简体"/>
                <w:color w:val="auto"/>
                <w:spacing w:val="11"/>
                <w:sz w:val="26"/>
                <w:szCs w:val="26"/>
                <w:u w:val="none"/>
              </w:rPr>
              <w:t>（侨联）</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档案馆</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县委政法委</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信访局</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县委编办</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统计局</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县委网信办</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行政审批服务局</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县委党校</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机关事务服务中心</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总工会</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bl>
    <w:p>
      <w:pPr>
        <w:bidi w:val="0"/>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三、司法执法监督管理部门</w:t>
      </w:r>
    </w:p>
    <w:tbl>
      <w:tblPr>
        <w:tblStyle w:val="6"/>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2"/>
        <w:gridCol w:w="837"/>
        <w:gridCol w:w="2900"/>
        <w:gridCol w:w="905"/>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kern w:val="2"/>
                <w:sz w:val="26"/>
                <w:szCs w:val="26"/>
                <w:vertAlign w:val="baseline"/>
                <w:lang w:val="en-US" w:eastAsia="zh-CN" w:bidi="ar-SA"/>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人民法院</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应急管理局</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8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kern w:val="2"/>
                <w:sz w:val="26"/>
                <w:szCs w:val="26"/>
                <w:u w:val="none"/>
                <w:lang w:val="en-US" w:eastAsia="zh-CN" w:bidi="ar-SA"/>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人民检察院</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市场监督管理局</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公安局</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城市管理和综合执法局</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司法局</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市生态环境局南县分局</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审计局</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bl>
    <w:p>
      <w:pPr>
        <w:bidi w:val="0"/>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四、主要经济发展部门</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9"/>
        <w:gridCol w:w="863"/>
        <w:gridCol w:w="2887"/>
        <w:gridCol w:w="919"/>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2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11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发展和改革局</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自然资源局</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7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财政局</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交通运输局</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7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6"/>
                <w:sz w:val="26"/>
                <w:szCs w:val="26"/>
                <w:u w:val="none"/>
                <w:lang w:eastAsia="zh-CN"/>
              </w:rPr>
              <w:t>科学技术和工业信息化局</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水利局</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7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住房和城乡建设局</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商务局</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7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农业农村局</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林业局</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7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bl>
    <w:p>
      <w:pPr>
        <w:bidi w:val="0"/>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五、主要社会管理部门</w:t>
      </w:r>
    </w:p>
    <w:tbl>
      <w:tblPr>
        <w:tblStyle w:val="6"/>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9"/>
        <w:gridCol w:w="850"/>
        <w:gridCol w:w="2900"/>
        <w:gridCol w:w="90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教育局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卫生健康局（计生协）</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8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民政局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医疗保障局</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人力资源和社会保障局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退役军人事务局</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文化旅游广电体育局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益阳南洞庭湖自然保护区南县管理局</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简体" w:hAnsi="方正仿宋简体" w:eastAsia="方正仿宋简体" w:cs="方正仿宋简体"/>
                <w:color w:val="auto"/>
                <w:spacing w:val="11"/>
                <w:sz w:val="26"/>
                <w:szCs w:val="26"/>
                <w:u w:val="none"/>
                <w:lang w:val="en-US" w:eastAsia="zh-CN"/>
              </w:rPr>
            </w:pPr>
          </w:p>
        </w:tc>
      </w:tr>
    </w:tbl>
    <w:p>
      <w:pPr>
        <w:bidi w:val="0"/>
        <w:jc w:val="left"/>
        <w:rPr>
          <w:rFonts w:hint="eastAsia" w:ascii="方正黑体简体" w:hAnsi="方正黑体简体" w:eastAsia="方正黑体简体" w:cs="方正黑体简体"/>
          <w:sz w:val="32"/>
          <w:szCs w:val="32"/>
          <w:lang w:val="en-US" w:eastAsia="zh-CN"/>
        </w:rPr>
      </w:pPr>
    </w:p>
    <w:p>
      <w:pPr>
        <w:bidi w:val="0"/>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六、正科级事业单位</w:t>
      </w:r>
    </w:p>
    <w:tbl>
      <w:tblPr>
        <w:tblStyle w:val="6"/>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7"/>
        <w:gridCol w:w="862"/>
        <w:gridCol w:w="2888"/>
        <w:gridCol w:w="909"/>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11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融媒体中心</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农机事务中心</w:t>
            </w:r>
          </w:p>
        </w:tc>
        <w:tc>
          <w:tcPr>
            <w:tcW w:w="9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供销合作社联合社</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畜牧水产事务中心</w:t>
            </w:r>
          </w:p>
        </w:tc>
        <w:tc>
          <w:tcPr>
            <w:tcW w:w="9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稻虾产业发展服务中心</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检验检测中心</w:t>
            </w:r>
          </w:p>
        </w:tc>
        <w:tc>
          <w:tcPr>
            <w:tcW w:w="9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住房保障服务中心</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征地拆迁与安置补偿事务中心</w:t>
            </w:r>
          </w:p>
        </w:tc>
        <w:tc>
          <w:tcPr>
            <w:tcW w:w="9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公路建设养护中心</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9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bl>
    <w:p>
      <w:pPr>
        <w:bidi w:val="0"/>
        <w:jc w:val="left"/>
        <w:rPr>
          <w:rFonts w:hint="eastAsia" w:ascii="方正黑体简体" w:hAnsi="方正黑体简体" w:eastAsia="方正黑体简体" w:cs="方正黑体简体"/>
          <w:sz w:val="32"/>
          <w:szCs w:val="32"/>
          <w:lang w:val="en-US" w:eastAsia="zh-CN"/>
        </w:rPr>
      </w:pPr>
    </w:p>
    <w:p>
      <w:pPr>
        <w:bidi w:val="0"/>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七、中央省市属驻南单位（行政执法与服务部门）</w:t>
      </w:r>
    </w:p>
    <w:tbl>
      <w:tblPr>
        <w:tblStyle w:val="6"/>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4"/>
        <w:gridCol w:w="875"/>
        <w:gridCol w:w="2888"/>
        <w:gridCol w:w="911"/>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税务局</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中国联通南县分公司</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烟草专卖局</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中国电信南县分公司</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国网南县供电公司</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南县邮政分公司</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气象局</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6"/>
                <w:sz w:val="26"/>
                <w:szCs w:val="26"/>
                <w:u w:val="none"/>
              </w:rPr>
              <w:t>国家统计局南县调查队</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消防救援大队</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益阳市住房公积金管理中心南县管理部</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6"/>
                <w:sz w:val="26"/>
                <w:szCs w:val="26"/>
                <w:u w:val="none"/>
              </w:rPr>
              <w:t>中国石化南县石油分公司</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湖南省新华书店有限责任公司南县分公司</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中国移动南县分公司</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bl>
    <w:p>
      <w:pPr>
        <w:bidi w:val="0"/>
        <w:jc w:val="left"/>
        <w:rPr>
          <w:rFonts w:hint="eastAsia" w:ascii="方正黑体简体" w:hAnsi="方正黑体简体" w:eastAsia="方正黑体简体" w:cs="方正黑体简体"/>
          <w:sz w:val="32"/>
          <w:szCs w:val="32"/>
          <w:lang w:val="en-US" w:eastAsia="zh-CN"/>
        </w:rPr>
      </w:pPr>
    </w:p>
    <w:p>
      <w:pPr>
        <w:bidi w:val="0"/>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八、中央省市属驻南单位（金融与保险部门）</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2"/>
        <w:gridCol w:w="887"/>
        <w:gridCol w:w="2888"/>
        <w:gridCol w:w="90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kern w:val="2"/>
                <w:sz w:val="26"/>
                <w:szCs w:val="26"/>
                <w:vertAlign w:val="baseline"/>
                <w:lang w:val="en-US" w:eastAsia="zh-CN" w:bidi="ar-SA"/>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人民银行南县支行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长沙银行南县支行</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20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kern w:val="2"/>
                <w:sz w:val="26"/>
                <w:szCs w:val="26"/>
                <w:u w:val="none"/>
                <w:lang w:val="en-US" w:eastAsia="zh-CN" w:bidi="ar-SA"/>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工商银行南县支行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6"/>
                <w:sz w:val="26"/>
                <w:szCs w:val="26"/>
                <w:u w:val="none"/>
              </w:rPr>
              <w:t>湖南南县湘江村镇银行</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农业银行南县支行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人保财险南县支公司</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中国银行南县支行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中国人寿南县支公司</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建设银行南县支行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国寿财险南县支公司</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南县农村商业银行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中华联合财产保险南县支公司</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农业发展银行南县支行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平安产险南县支公司</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邮政储蓄银行南县支行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6"/>
                <w:sz w:val="26"/>
                <w:szCs w:val="26"/>
                <w:u w:val="none"/>
              </w:rPr>
              <w:t>太平洋产险南县支公司</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湖南</w:t>
            </w:r>
            <w:r>
              <w:rPr>
                <w:rFonts w:hint="eastAsia" w:ascii="方正仿宋简体" w:hAnsi="方正仿宋简体" w:eastAsia="方正仿宋简体" w:cs="方正仿宋简体"/>
                <w:color w:val="auto"/>
                <w:spacing w:val="11"/>
                <w:sz w:val="26"/>
                <w:szCs w:val="26"/>
                <w:u w:val="none"/>
              </w:rPr>
              <w:t>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bl>
    <w:p>
      <w:pPr>
        <w:numPr>
          <w:ilvl w:val="0"/>
          <w:numId w:val="0"/>
        </w:numPr>
        <w:bidi w:val="0"/>
        <w:jc w:val="left"/>
        <w:rPr>
          <w:rFonts w:hint="eastAsia" w:ascii="方正黑体简体" w:hAnsi="方正黑体简体" w:eastAsia="方正黑体简体" w:cs="方正黑体简体"/>
          <w:sz w:val="32"/>
          <w:szCs w:val="32"/>
          <w:lang w:val="en-US" w:eastAsia="zh-CN"/>
        </w:rPr>
      </w:pPr>
    </w:p>
    <w:p>
      <w:pPr>
        <w:numPr>
          <w:ilvl w:val="0"/>
          <w:numId w:val="1"/>
        </w:numPr>
        <w:bidi w:val="0"/>
        <w:jc w:val="left"/>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单独绩效考评单位</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2"/>
        <w:gridCol w:w="887"/>
        <w:gridCol w:w="2888"/>
        <w:gridCol w:w="90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kern w:val="2"/>
                <w:sz w:val="26"/>
                <w:szCs w:val="26"/>
                <w:vertAlign w:val="baseline"/>
                <w:lang w:val="en-US" w:eastAsia="zh-CN" w:bidi="ar-SA"/>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numPr>
                <w:ilvl w:val="0"/>
                <w:numId w:val="0"/>
              </w:numPr>
              <w:bidi w:val="0"/>
              <w:jc w:val="center"/>
              <w:rPr>
                <w:rFonts w:hint="eastAsia" w:ascii="方正仿宋简体" w:hAnsi="方正仿宋简体" w:eastAsia="方正仿宋简体" w:cs="方正仿宋简体"/>
                <w:b/>
                <w:bCs/>
                <w:color w:val="auto"/>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lang w:val="en-US" w:eastAsia="zh-CN"/>
              </w:rPr>
              <w:t>乡村振兴局</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省级农业科技园区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lang w:val="en-US" w:eastAsia="zh-CN"/>
              </w:rPr>
              <w:t>管委会</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sz w:val="26"/>
                <w:szCs w:val="2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numPr>
                <w:ilvl w:val="0"/>
                <w:numId w:val="0"/>
              </w:numPr>
              <w:bidi w:val="0"/>
              <w:jc w:val="center"/>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经济开发区管委会</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6"/>
                <w:sz w:val="26"/>
                <w:szCs w:val="26"/>
                <w:u w:val="none"/>
                <w:lang w:val="en-US" w:eastAsia="zh-CN"/>
              </w:rPr>
              <w:t>城乡发展投资有限公司</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sz w:val="26"/>
                <w:szCs w:val="26"/>
                <w:vertAlign w:val="baseline"/>
                <w:lang w:val="en-US" w:eastAsia="zh-CN"/>
              </w:rPr>
            </w:pPr>
          </w:p>
        </w:tc>
      </w:tr>
    </w:tbl>
    <w:p>
      <w:pPr>
        <w:numPr>
          <w:ilvl w:val="0"/>
          <w:numId w:val="0"/>
        </w:numPr>
        <w:bidi w:val="0"/>
        <w:jc w:val="left"/>
        <w:rPr>
          <w:rFonts w:hint="eastAsia" w:ascii="方正黑体简体" w:hAnsi="方正黑体简体" w:eastAsia="方正黑体简体" w:cs="方正黑体简体"/>
          <w:color w:val="0000FF"/>
          <w:sz w:val="32"/>
          <w:szCs w:val="32"/>
          <w:lang w:val="en-US" w:eastAsia="zh-CN"/>
        </w:rPr>
      </w:pPr>
    </w:p>
    <w:p/>
    <w:sectPr>
      <w:pgSz w:w="11907" w:h="16840"/>
      <w:pgMar w:top="2098" w:right="1474" w:bottom="1984" w:left="1587" w:header="851" w:footer="1361" w:gutter="0"/>
      <w:pgNumType w:fmt="numberInDash"/>
      <w:cols w:space="0" w:num="1"/>
      <w:rtlGutter w:val="0"/>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2F8184-660D-48A9-AAD6-9639010CCB6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648A5DF-262F-4904-91B5-0B68C22BA8D7}"/>
  </w:font>
  <w:font w:name="仿宋_GB2312">
    <w:altName w:val="仿宋"/>
    <w:panose1 w:val="02010609030101010101"/>
    <w:charset w:val="86"/>
    <w:family w:val="modern"/>
    <w:pitch w:val="default"/>
    <w:sig w:usb0="00000000" w:usb1="00000000" w:usb2="00000000" w:usb3="00000000" w:csb0="00040000" w:csb1="00000000"/>
    <w:embedRegular r:id="rId3" w:fontKey="{323881FD-FCF3-4117-933C-976A0202AB47}"/>
  </w:font>
  <w:font w:name="穝灿砰">
    <w:altName w:val="微软雅黑"/>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60AF426E-DBAB-4B6C-A2AB-C25BBCDA25B9}"/>
  </w:font>
  <w:font w:name="方正仿宋简体">
    <w:altName w:val="微软雅黑"/>
    <w:panose1 w:val="03000509000000000000"/>
    <w:charset w:val="86"/>
    <w:family w:val="script"/>
    <w:pitch w:val="default"/>
    <w:sig w:usb0="00000000" w:usb1="00000000" w:usb2="00000000" w:usb3="00000000" w:csb0="00040000" w:csb1="00000000"/>
    <w:embedRegular r:id="rId5" w:fontKey="{48F284D7-BD9F-4B42-BCE2-E076CEFF1B41}"/>
  </w:font>
  <w:font w:name="方正黑体简体">
    <w:altName w:val="微软雅黑"/>
    <w:panose1 w:val="03000509000000000000"/>
    <w:charset w:val="86"/>
    <w:family w:val="auto"/>
    <w:pitch w:val="default"/>
    <w:sig w:usb0="00000000" w:usb1="00000000" w:usb2="00000000" w:usb3="00000000" w:csb0="00040000" w:csb1="00000000"/>
    <w:embedRegular r:id="rId6" w:fontKey="{B76A3640-7E86-4DE1-ABAB-17728C8F2353}"/>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5F361"/>
    <w:multiLevelType w:val="singleLevel"/>
    <w:tmpl w:val="F485F361"/>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MDBlZmRlOTg2NjkxNDA0ZWM4YTU5MDQ4ODc4YTMifQ=="/>
  </w:docVars>
  <w:rsids>
    <w:rsidRoot w:val="13CA72A4"/>
    <w:rsid w:val="00991ADF"/>
    <w:rsid w:val="13CA72A4"/>
    <w:rsid w:val="75BD0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libri" w:hAnsi="Calibri" w:eastAsia="仿宋_GB2312"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spacing w:after="104" w:afterLines="0" w:line="0" w:lineRule="atLeast"/>
      <w:ind w:firstLine="0" w:firstLineChars="0"/>
      <w:jc w:val="left"/>
    </w:pPr>
    <w:rPr>
      <w:rFonts w:ascii="Arial" w:hAnsi="Arial" w:eastAsia="穝灿砰"/>
      <w:sz w:val="28"/>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1313</Words>
  <Characters>1349</Characters>
  <Lines>0</Lines>
  <Paragraphs>0</Paragraphs>
  <TotalTime>2</TotalTime>
  <ScaleCrop>false</ScaleCrop>
  <LinksUpToDate>false</LinksUpToDate>
  <CharactersWithSpaces>1468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2023-02-15T03:30:00Z</dcterms:created>
  <dc:creator>舒展</dc:creator>
  <cp:lastModifiedBy>舒展</cp:lastModifiedBy>
  <dcterms:modified xsi:type="dcterms:W3CDTF">2023-02-15T07:03:28Z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9EDABFD7C57643E7A377474EBD3DAE12</vt:lpwstr>
  </property>
</Properties>
</file>