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Times New Roman" w:hAnsi="Times New Roman" w:eastAsia="楷体_GB2312" w:cs="Times New Roman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108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南县赋予乡镇经济社会管理权限目录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576" w:lineRule="exact"/>
        <w:ind w:left="108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（燃气管理行政处罚类）（6项）</w:t>
      </w:r>
    </w:p>
    <w:tbl>
      <w:tblPr>
        <w:tblStyle w:val="9"/>
        <w:tblW w:w="5027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2196"/>
        <w:gridCol w:w="3103"/>
        <w:gridCol w:w="3545"/>
        <w:gridCol w:w="816"/>
        <w:gridCol w:w="816"/>
        <w:gridCol w:w="958"/>
        <w:gridCol w:w="21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Header/>
        </w:trPr>
        <w:tc>
          <w:tcPr>
            <w:tcW w:w="244" w:type="pct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"/>
                <w:kern w:val="0"/>
                <w:sz w:val="21"/>
                <w:szCs w:val="21"/>
              </w:rPr>
              <w:t>序号</w:t>
            </w:r>
          </w:p>
        </w:tc>
        <w:tc>
          <w:tcPr>
            <w:tcW w:w="770" w:type="pct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赋权部门</w:t>
            </w:r>
          </w:p>
        </w:tc>
        <w:tc>
          <w:tcPr>
            <w:tcW w:w="1088" w:type="pct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赋权事项</w:t>
            </w:r>
          </w:p>
        </w:tc>
        <w:tc>
          <w:tcPr>
            <w:tcW w:w="1243" w:type="pct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事项名称</w:t>
            </w:r>
          </w:p>
        </w:tc>
        <w:tc>
          <w:tcPr>
            <w:tcW w:w="908" w:type="pct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赋权方式</w:t>
            </w:r>
          </w:p>
        </w:tc>
        <w:tc>
          <w:tcPr>
            <w:tcW w:w="744" w:type="pct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承接部门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Header/>
        </w:trPr>
        <w:tc>
          <w:tcPr>
            <w:tcW w:w="244" w:type="pct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770" w:type="pct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1088" w:type="pct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直接赋权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委托下放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前移</w:t>
            </w:r>
          </w:p>
        </w:tc>
        <w:tc>
          <w:tcPr>
            <w:tcW w:w="744" w:type="pct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4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1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县住房和城乡建设局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燃气管理违法违规行为的处罚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未取得燃气经营许可证从事燃气经营活动的处罚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√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各乡镇人民政府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4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县住房和城乡建设局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燃气管理违法违规行为的处罚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燃气经营者未按燃气经营许可的规定从事燃气经营活动的处罚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√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各乡镇人民政府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4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县住房和城乡建设局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燃气管理违法违规行为的处罚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对燃气经营者未采取措施及时消除燃气安全事故隐患等的处罚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√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各乡镇人民政府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4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县住房和城乡建设局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燃气管理违法违规行为的处罚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对在不具备安全条件的场所使用、储存燃气等的处罚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√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各乡镇人民政府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4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县住房和城乡建设局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燃气管理违法违规行为的处罚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对由于燃气燃烧器具安装、维修原因发生燃气事故等的处罚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√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各乡镇人民政府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244" w:type="pc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6</w:t>
            </w:r>
          </w:p>
        </w:tc>
        <w:tc>
          <w:tcPr>
            <w:tcW w:w="77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县住房和城乡建设局</w:t>
            </w:r>
          </w:p>
        </w:tc>
        <w:tc>
          <w:tcPr>
            <w:tcW w:w="108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燃气管理违法违规行为的处罚</w:t>
            </w:r>
          </w:p>
        </w:tc>
        <w:tc>
          <w:tcPr>
            <w:tcW w:w="124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擅自为非自有气瓶充装的燃气或销售非法瓶装燃气的处罚</w:t>
            </w:r>
          </w:p>
        </w:tc>
        <w:tc>
          <w:tcPr>
            <w:tcW w:w="2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√</w:t>
            </w:r>
          </w:p>
        </w:tc>
        <w:tc>
          <w:tcPr>
            <w:tcW w:w="33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2"/>
                <w:kern w:val="0"/>
                <w:sz w:val="21"/>
                <w:szCs w:val="21"/>
              </w:rPr>
              <w:t>各乡镇人民政府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62A5C"/>
    <w:rsid w:val="19513413"/>
    <w:rsid w:val="1F362A5C"/>
    <w:rsid w:val="44202667"/>
    <w:rsid w:val="4FCC5D39"/>
    <w:rsid w:val="539A4C1A"/>
    <w:rsid w:val="588B2E57"/>
    <w:rsid w:val="690B1182"/>
    <w:rsid w:val="7E2503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4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Arial" w:hAnsi="Arial" w:eastAsia="方正小标宋简体" w:cs="Times New Roman"/>
      <w:b w:val="0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b/>
      <w:sz w:val="32"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 w:val="32"/>
    </w:r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2022-12-29T08:01:00Z</dcterms:created>
  <dc:creator>Administrator</dc:creator>
  <cp:lastModifiedBy>Administrator</cp:lastModifiedBy>
  <dcterms:modified xsi:type="dcterms:W3CDTF">2022-12-29T08:02:26Z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