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2560" w:firstLineChars="800"/>
        <w:rPr>
          <w:rFonts w:hint="eastAsia" w:ascii="Times New Roman" w:hAnsi="Times New Roman" w:eastAsia="仿宋_GB2312"/>
          <w:b w:val="0"/>
          <w:bCs w:val="0"/>
          <w:kern w:val="0"/>
          <w:sz w:val="32"/>
          <w:szCs w:val="20"/>
        </w:rPr>
      </w:pPr>
      <w:r>
        <w:rPr>
          <w:rFonts w:hint="eastAsia" w:ascii="Times New Roman" w:hAnsi="Times New Roman" w:eastAsia="仿宋_GB2312"/>
          <w:b w:val="0"/>
          <w:bCs w:val="0"/>
          <w:kern w:val="0"/>
          <w:sz w:val="32"/>
          <w:szCs w:val="20"/>
        </w:rPr>
        <w:t>南政办发〔2022〕15号</w:t>
      </w:r>
    </w:p>
    <w:p>
      <w:pPr>
        <w:pStyle w:val="2"/>
        <w:rPr>
          <w:rFonts w:hint="eastAsia" w:ascii="Times New Roman" w:hAnsi="Times New Roman" w:eastAsia="仿宋_GB2312"/>
          <w:kern w:val="0"/>
          <w:sz w:val="32"/>
          <w:szCs w:val="20"/>
        </w:rPr>
      </w:pPr>
    </w:p>
    <w:p>
      <w:pPr>
        <w:pStyle w:val="2"/>
        <w:rPr>
          <w:rFonts w:hint="eastAsia" w:ascii="Times New Roman" w:hAnsi="Times New Roman" w:eastAsia="仿宋_GB2312"/>
          <w:kern w:val="0"/>
          <w:sz w:val="32"/>
          <w:szCs w:val="20"/>
        </w:rPr>
      </w:pPr>
    </w:p>
    <w:p>
      <w:pPr>
        <w:pStyle w:val="2"/>
        <w:rPr>
          <w:rFonts w:hint="eastAsia" w:ascii="Times New Roman" w:hAnsi="Times New Roman" w:eastAsia="仿宋_GB2312"/>
          <w:kern w:val="0"/>
          <w:sz w:val="32"/>
          <w:szCs w:val="20"/>
        </w:rPr>
      </w:pPr>
    </w:p>
    <w:p>
      <w:pPr>
        <w:pStyle w:val="2"/>
        <w:rPr>
          <w:rFonts w:hint="eastAsia" w:ascii="Times New Roman" w:hAnsi="Times New Roman" w:eastAsia="仿宋_GB2312"/>
          <w:kern w:val="0"/>
          <w:sz w:val="32"/>
          <w:szCs w:val="20"/>
        </w:rPr>
      </w:pPr>
    </w:p>
    <w:p>
      <w:pPr>
        <w:pStyle w:val="2"/>
        <w:rPr>
          <w:rFonts w:hint="eastAsia" w:ascii="Times New Roman" w:hAnsi="Times New Roman" w:eastAsia="仿宋_GB2312"/>
          <w:kern w:val="0"/>
          <w:sz w:val="32"/>
          <w:szCs w:val="20"/>
        </w:rPr>
      </w:pPr>
    </w:p>
    <w:p>
      <w:pPr>
        <w:pStyle w:val="2"/>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南县人民政府办公室</w:t>
      </w:r>
    </w:p>
    <w:p>
      <w:pPr>
        <w:pStyle w:val="2"/>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关于印发《南县县属国有企业</w:t>
      </w:r>
    </w:p>
    <w:p>
      <w:pPr>
        <w:pStyle w:val="2"/>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eastAsia="仿宋_GB2312"/>
          <w:b w:val="0"/>
          <w:bCs w:val="0"/>
          <w:kern w:val="0"/>
          <w:sz w:val="32"/>
          <w:szCs w:val="20"/>
        </w:rPr>
      </w:pPr>
      <w:r>
        <w:rPr>
          <w:rFonts w:hint="eastAsia" w:ascii="方正小标宋简体" w:hAnsi="方正小标宋简体" w:eastAsia="方正小标宋简体" w:cs="方正小标宋简体"/>
          <w:b w:val="0"/>
          <w:bCs w:val="0"/>
          <w:kern w:val="0"/>
          <w:sz w:val="44"/>
          <w:szCs w:val="44"/>
        </w:rPr>
        <w:t>违规经营投资损失责任追究办法》的通知</w:t>
      </w:r>
    </w:p>
    <w:p>
      <w:pPr>
        <w:pStyle w:val="2"/>
        <w:rPr>
          <w:rFonts w:hint="eastAsia" w:ascii="Times New Roman" w:hAnsi="Times New Roman" w:eastAsia="仿宋_GB2312"/>
          <w:b w:val="0"/>
          <w:bCs w:val="0"/>
          <w:kern w:val="0"/>
          <w:sz w:val="32"/>
          <w:szCs w:val="20"/>
        </w:rPr>
      </w:pPr>
    </w:p>
    <w:p>
      <w:pPr>
        <w:pStyle w:val="2"/>
        <w:ind w:left="0" w:leftChars="0" w:firstLine="0" w:firstLineChars="0"/>
        <w:rPr>
          <w:rFonts w:hint="eastAsia" w:ascii="Times New Roman" w:hAnsi="Times New Roman" w:eastAsia="仿宋_GB2312"/>
          <w:b w:val="0"/>
          <w:bCs w:val="0"/>
          <w:kern w:val="0"/>
          <w:sz w:val="32"/>
          <w:szCs w:val="20"/>
        </w:rPr>
      </w:pPr>
      <w:r>
        <w:rPr>
          <w:rFonts w:hint="eastAsia" w:ascii="Times New Roman" w:hAnsi="Times New Roman" w:eastAsia="仿宋_GB2312"/>
          <w:b w:val="0"/>
          <w:bCs w:val="0"/>
          <w:kern w:val="0"/>
          <w:sz w:val="32"/>
          <w:szCs w:val="20"/>
        </w:rPr>
        <w:t>各乡镇人民政府，县直各单位：</w:t>
      </w:r>
    </w:p>
    <w:p>
      <w:pPr>
        <w:pStyle w:val="2"/>
        <w:rPr>
          <w:rFonts w:hint="eastAsia" w:ascii="Times New Roman" w:hAnsi="Times New Roman" w:eastAsia="仿宋_GB2312"/>
          <w:b w:val="0"/>
          <w:bCs w:val="0"/>
          <w:kern w:val="0"/>
          <w:sz w:val="32"/>
          <w:szCs w:val="20"/>
        </w:rPr>
      </w:pPr>
      <w:r>
        <w:rPr>
          <w:rFonts w:hint="eastAsia" w:ascii="Times New Roman" w:hAnsi="Times New Roman" w:eastAsia="仿宋_GB2312"/>
          <w:b w:val="0"/>
          <w:bCs w:val="0"/>
          <w:kern w:val="0"/>
          <w:sz w:val="32"/>
          <w:szCs w:val="20"/>
        </w:rPr>
        <w:t xml:space="preserve">《南县县属国有企业违规经营投资损失责任追究办法》已经县人民政府同意，现印发给你们，请认真遵照执行。 </w:t>
      </w:r>
    </w:p>
    <w:p>
      <w:pPr>
        <w:pStyle w:val="2"/>
        <w:rPr>
          <w:rFonts w:hint="eastAsia" w:ascii="Times New Roman" w:hAnsi="Times New Roman" w:eastAsia="仿宋_GB2312"/>
          <w:b w:val="0"/>
          <w:bCs w:val="0"/>
          <w:kern w:val="0"/>
          <w:sz w:val="32"/>
          <w:szCs w:val="20"/>
        </w:rPr>
      </w:pPr>
      <w:r>
        <w:rPr>
          <w:rFonts w:hint="eastAsia" w:ascii="Times New Roman" w:hAnsi="Times New Roman" w:eastAsia="仿宋_GB2312"/>
          <w:b w:val="0"/>
          <w:bCs w:val="0"/>
          <w:kern w:val="0"/>
          <w:sz w:val="32"/>
          <w:szCs w:val="20"/>
        </w:rPr>
        <w:t xml:space="preserve">                                                            </w:t>
      </w:r>
    </w:p>
    <w:p>
      <w:pPr>
        <w:pStyle w:val="2"/>
        <w:ind w:left="5758" w:leftChars="304" w:hanging="5120" w:hangingChars="1600"/>
        <w:jc w:val="both"/>
        <w:rPr>
          <w:rFonts w:hint="eastAsia" w:ascii="Times New Roman" w:hAnsi="Times New Roman" w:eastAsia="仿宋_GB2312"/>
          <w:b w:val="0"/>
          <w:bCs w:val="0"/>
          <w:kern w:val="0"/>
          <w:sz w:val="32"/>
          <w:szCs w:val="20"/>
        </w:rPr>
      </w:pPr>
    </w:p>
    <w:p>
      <w:pPr>
        <w:pStyle w:val="2"/>
        <w:ind w:left="5748" w:leftChars="2280" w:hanging="960" w:hangingChars="300"/>
        <w:jc w:val="both"/>
        <w:rPr>
          <w:rFonts w:hint="eastAsia" w:ascii="Times New Roman" w:hAnsi="Times New Roman" w:eastAsia="仿宋_GB2312"/>
          <w:b w:val="0"/>
          <w:bCs w:val="0"/>
          <w:kern w:val="0"/>
          <w:sz w:val="32"/>
          <w:szCs w:val="20"/>
        </w:rPr>
      </w:pPr>
      <w:r>
        <w:rPr>
          <w:rFonts w:hint="eastAsia" w:ascii="Times New Roman" w:hAnsi="Times New Roman" w:eastAsia="仿宋_GB2312"/>
          <w:b w:val="0"/>
          <w:bCs w:val="0"/>
          <w:kern w:val="0"/>
          <w:sz w:val="32"/>
          <w:szCs w:val="20"/>
        </w:rPr>
        <w:t>南县人民政府办公室</w:t>
      </w:r>
    </w:p>
    <w:p>
      <w:pPr>
        <w:pStyle w:val="2"/>
        <w:rPr>
          <w:rFonts w:hint="eastAsia" w:ascii="Times New Roman" w:hAnsi="Times New Roman" w:eastAsia="仿宋_GB2312"/>
          <w:b w:val="0"/>
          <w:bCs w:val="0"/>
          <w:kern w:val="0"/>
          <w:sz w:val="32"/>
          <w:szCs w:val="20"/>
        </w:rPr>
      </w:pPr>
      <w:r>
        <w:rPr>
          <w:rFonts w:hint="eastAsia" w:ascii="Times New Roman" w:hAnsi="Times New Roman" w:eastAsia="仿宋_GB2312"/>
          <w:b w:val="0"/>
          <w:bCs w:val="0"/>
          <w:kern w:val="0"/>
          <w:sz w:val="32"/>
          <w:szCs w:val="20"/>
        </w:rPr>
        <w:t xml:space="preserve"> </w:t>
      </w:r>
      <w:r>
        <w:rPr>
          <w:rFonts w:hint="eastAsia" w:ascii="Times New Roman" w:hAnsi="Times New Roman"/>
          <w:b w:val="0"/>
          <w:bCs w:val="0"/>
          <w:kern w:val="0"/>
          <w:sz w:val="32"/>
          <w:szCs w:val="20"/>
          <w:lang w:val="en-US" w:eastAsia="zh-CN"/>
        </w:rPr>
        <w:t xml:space="preserve">                         </w:t>
      </w:r>
      <w:r>
        <w:rPr>
          <w:rFonts w:hint="eastAsia" w:ascii="Times New Roman" w:hAnsi="Times New Roman" w:eastAsia="仿宋_GB2312"/>
          <w:b w:val="0"/>
          <w:bCs w:val="0"/>
          <w:kern w:val="0"/>
          <w:sz w:val="32"/>
          <w:szCs w:val="20"/>
        </w:rPr>
        <w:t xml:space="preserve"> 2022年9月19日</w:t>
      </w:r>
    </w:p>
    <w:p>
      <w:pPr>
        <w:pStyle w:val="2"/>
        <w:rPr>
          <w:rFonts w:hint="eastAsia" w:ascii="Times New Roman" w:hAnsi="Times New Roman" w:eastAsia="仿宋_GB2312"/>
          <w:b w:val="0"/>
          <w:bCs w:val="0"/>
          <w:kern w:val="0"/>
          <w:sz w:val="32"/>
          <w:szCs w:val="20"/>
        </w:rPr>
      </w:pPr>
    </w:p>
    <w:p>
      <w:pPr>
        <w:pStyle w:val="2"/>
        <w:rPr>
          <w:rFonts w:hint="eastAsia" w:ascii="Times New Roman" w:hAnsi="Times New Roman" w:eastAsia="仿宋_GB2312"/>
          <w:b w:val="0"/>
          <w:bCs w:val="0"/>
          <w:kern w:val="0"/>
          <w:sz w:val="32"/>
          <w:szCs w:val="20"/>
        </w:rPr>
      </w:pPr>
    </w:p>
    <w:p>
      <w:pPr>
        <w:pStyle w:val="2"/>
        <w:rPr>
          <w:rFonts w:hint="eastAsia" w:ascii="Times New Roman" w:hAnsi="Times New Roman" w:eastAsia="仿宋_GB2312"/>
          <w:b w:val="0"/>
          <w:bCs w:val="0"/>
          <w:kern w:val="0"/>
          <w:sz w:val="32"/>
          <w:szCs w:val="20"/>
        </w:rPr>
      </w:pPr>
    </w:p>
    <w:p>
      <w:pPr>
        <w:pStyle w:val="2"/>
        <w:rPr>
          <w:rFonts w:hint="eastAsia" w:ascii="Times New Roman" w:hAnsi="Times New Roman" w:eastAsia="仿宋_GB2312"/>
          <w:b w:val="0"/>
          <w:bCs w:val="0"/>
          <w:kern w:val="0"/>
          <w:sz w:val="32"/>
          <w:szCs w:val="20"/>
        </w:rPr>
      </w:pPr>
    </w:p>
    <w:p>
      <w:pPr>
        <w:pStyle w:val="2"/>
        <w:rPr>
          <w:rFonts w:hint="eastAsia" w:ascii="Times New Roman" w:hAnsi="Times New Roman" w:eastAsia="仿宋_GB2312"/>
          <w:b w:val="0"/>
          <w:bCs w:val="0"/>
          <w:kern w:val="0"/>
          <w:sz w:val="32"/>
          <w:szCs w:val="20"/>
        </w:rPr>
      </w:pPr>
    </w:p>
    <w:p>
      <w:pPr>
        <w:pStyle w:val="2"/>
        <w:rPr>
          <w:rFonts w:hint="eastAsia" w:ascii="Times New Roman" w:hAnsi="Times New Roman" w:eastAsia="仿宋_GB2312"/>
          <w:b w:val="0"/>
          <w:bCs w:val="0"/>
          <w:kern w:val="0"/>
          <w:sz w:val="32"/>
          <w:szCs w:val="20"/>
        </w:rPr>
      </w:pPr>
    </w:p>
    <w:p>
      <w:pPr>
        <w:pStyle w:val="2"/>
        <w:rPr>
          <w:rFonts w:hint="eastAsia" w:ascii="Times New Roman" w:hAnsi="Times New Roman" w:eastAsia="仿宋_GB2312"/>
          <w:b w:val="0"/>
          <w:bCs w:val="0"/>
          <w:kern w:val="0"/>
          <w:sz w:val="32"/>
          <w:szCs w:val="20"/>
        </w:rPr>
      </w:pPr>
    </w:p>
    <w:p>
      <w:pPr>
        <w:pStyle w:val="2"/>
        <w:rPr>
          <w:rFonts w:hint="eastAsia" w:ascii="Times New Roman" w:hAnsi="Times New Roman" w:eastAsia="仿宋_GB2312"/>
          <w:b w:val="0"/>
          <w:bCs w:val="0"/>
          <w:kern w:val="0"/>
          <w:sz w:val="32"/>
          <w:szCs w:val="20"/>
        </w:rPr>
      </w:pPr>
    </w:p>
    <w:p>
      <w:pPr>
        <w:pStyle w:val="2"/>
        <w:rPr>
          <w:rFonts w:hint="eastAsia" w:ascii="Times New Roman" w:hAnsi="Times New Roman" w:eastAsia="仿宋_GB2312"/>
          <w:b w:val="0"/>
          <w:bCs w:val="0"/>
          <w:kern w:val="0"/>
          <w:sz w:val="32"/>
          <w:szCs w:val="20"/>
        </w:rPr>
      </w:pPr>
    </w:p>
    <w:p>
      <w:pPr>
        <w:pStyle w:val="2"/>
        <w:jc w:val="center"/>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南县县属国有企业违规</w:t>
      </w:r>
    </w:p>
    <w:p>
      <w:pPr>
        <w:pStyle w:val="2"/>
        <w:jc w:val="center"/>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经营投资损失责任追究办法</w:t>
      </w:r>
    </w:p>
    <w:p>
      <w:pPr>
        <w:pStyle w:val="2"/>
        <w:rPr>
          <w:rFonts w:hint="eastAsia" w:ascii="Times New Roman" w:hAnsi="Times New Roman" w:eastAsia="仿宋_GB2312"/>
          <w:b w:val="0"/>
          <w:bCs w:val="0"/>
          <w:kern w:val="0"/>
          <w:sz w:val="32"/>
          <w:szCs w:val="20"/>
        </w:rPr>
      </w:pP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Times New Roman" w:hAnsi="Times New Roman" w:eastAsia="仿宋_GB2312"/>
          <w:b w:val="0"/>
          <w:bCs w:val="0"/>
          <w:kern w:val="0"/>
          <w:sz w:val="32"/>
          <w:szCs w:val="20"/>
        </w:rPr>
      </w:pPr>
      <w:r>
        <w:rPr>
          <w:rFonts w:hint="eastAsia" w:ascii="Times New Roman" w:hAnsi="Times New Roman" w:eastAsia="仿宋_GB2312"/>
          <w:b w:val="0"/>
          <w:bCs w:val="0"/>
          <w:kern w:val="0"/>
          <w:sz w:val="32"/>
          <w:szCs w:val="20"/>
        </w:rPr>
        <w:t>第一条  为加强和规范县属国有企业违规经营投资损失责任追究工作，有效防止国有资产流失，根据《中华人民共和国企业国有资产法》、《国务院办公厅关于建立国有企业违规经营投资责任追究制度的意见》（国办发〔2016〕63号）、《中央企业违规经营投资责任追究实施办法（试行）》（国资委令第37号）、《湖南省人民政府办公厅关于印发〈湖南省省属国有企业违规经营投资损失责任追究办法〉的通知》（湘政办发〔2022〕10号）、《益阳市人民政府办公室关于印发〈益阳市市属国有企业违规经营投资损失责任追究办法〉的通知》（益政办发〔2022〕10号）等规定，结合我县实际，制定本办法。</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Times New Roman" w:hAnsi="Times New Roman" w:eastAsia="仿宋_GB2312"/>
          <w:b w:val="0"/>
          <w:bCs w:val="0"/>
          <w:kern w:val="0"/>
          <w:sz w:val="32"/>
          <w:szCs w:val="20"/>
        </w:rPr>
      </w:pPr>
      <w:r>
        <w:rPr>
          <w:rFonts w:hint="eastAsia" w:ascii="Times New Roman" w:hAnsi="Times New Roman" w:eastAsia="仿宋_GB2312"/>
          <w:b w:val="0"/>
          <w:bCs w:val="0"/>
          <w:kern w:val="0"/>
          <w:sz w:val="32"/>
          <w:szCs w:val="20"/>
        </w:rPr>
        <w:t>第二条  县属国有企业及其独资、控股或具有实际控制力的各级子企业（以下简称企业）经营管理有关人员、股权代表违反国家法律法规、国有资产监管规章制度和企业内部管理制度等规定，未履行或未正确履行职责，造成国有资产损失或其他严重不良后果的，对其进行责任追究。</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Times New Roman" w:hAnsi="Times New Roman" w:eastAsia="仿宋_GB2312"/>
          <w:b w:val="0"/>
          <w:bCs w:val="0"/>
          <w:kern w:val="0"/>
          <w:sz w:val="32"/>
          <w:szCs w:val="20"/>
        </w:rPr>
      </w:pPr>
      <w:r>
        <w:rPr>
          <w:rFonts w:hint="eastAsia" w:ascii="Times New Roman" w:hAnsi="Times New Roman" w:eastAsia="仿宋_GB2312"/>
          <w:b w:val="0"/>
          <w:bCs w:val="0"/>
          <w:kern w:val="0"/>
          <w:sz w:val="32"/>
          <w:szCs w:val="20"/>
        </w:rPr>
        <w:t>第三条  国有资产监督管理机构和企业按照国有资本出资关系与管理权限，遵照“依法依规、客观公正、分级分类、惩防并举”的原则，建立追责工作制度，明确追责工作职责，组织开展责任追究工作。</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Times New Roman" w:hAnsi="Times New Roman" w:eastAsia="仿宋_GB2312"/>
          <w:b w:val="0"/>
          <w:bCs w:val="0"/>
          <w:kern w:val="0"/>
          <w:sz w:val="32"/>
          <w:szCs w:val="20"/>
        </w:rPr>
      </w:pPr>
      <w:r>
        <w:rPr>
          <w:rFonts w:hint="eastAsia" w:ascii="Times New Roman" w:hAnsi="Times New Roman" w:eastAsia="仿宋_GB2312"/>
          <w:b w:val="0"/>
          <w:bCs w:val="0"/>
          <w:kern w:val="0"/>
          <w:sz w:val="32"/>
          <w:szCs w:val="20"/>
        </w:rPr>
        <w:t>第四条  在追责工作中，涉及违纪或职务违法的问题线索，移送纪检监察机构查处；涉嫌犯罪的移送国家监察机关或司法机关查处。</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Times New Roman" w:hAnsi="Times New Roman" w:eastAsia="仿宋_GB2312"/>
          <w:b w:val="0"/>
          <w:bCs w:val="0"/>
          <w:kern w:val="0"/>
          <w:sz w:val="32"/>
          <w:szCs w:val="20"/>
        </w:rPr>
      </w:pPr>
      <w:r>
        <w:rPr>
          <w:rFonts w:hint="eastAsia" w:ascii="Times New Roman" w:hAnsi="Times New Roman" w:eastAsia="仿宋_GB2312"/>
          <w:b w:val="0"/>
          <w:bCs w:val="0"/>
          <w:kern w:val="0"/>
          <w:sz w:val="32"/>
          <w:szCs w:val="20"/>
        </w:rPr>
        <w:t>第五条 责任追究范围。在集团管控、风险管理、购销管理、工程承包建设、资金管理、产权股权及资产转让、固定资产投资、投资并购、改组改制、境外经营投资等方面违反规定，未履行或未正确履行职责，造成国有资产损失或其他严重不良后果的，追究相应责任。</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Times New Roman" w:hAnsi="Times New Roman" w:eastAsia="仿宋_GB2312"/>
          <w:b w:val="0"/>
          <w:bCs w:val="0"/>
          <w:kern w:val="0"/>
          <w:sz w:val="32"/>
          <w:szCs w:val="20"/>
        </w:rPr>
      </w:pPr>
      <w:r>
        <w:rPr>
          <w:rFonts w:hint="eastAsia" w:ascii="Times New Roman" w:hAnsi="Times New Roman" w:eastAsia="仿宋_GB2312"/>
          <w:b w:val="0"/>
          <w:bCs w:val="0"/>
          <w:kern w:val="0"/>
          <w:sz w:val="32"/>
          <w:szCs w:val="20"/>
        </w:rPr>
        <w:t>第六条  追责处理方式。包括组织处理、扣减薪酬、禁入限制、纪律处分、移送监察机关或司法机关等，可以单独使用，也可以合并使用。</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Times New Roman" w:hAnsi="Times New Roman" w:eastAsia="仿宋_GB2312"/>
          <w:b w:val="0"/>
          <w:bCs w:val="0"/>
          <w:kern w:val="0"/>
          <w:sz w:val="32"/>
          <w:szCs w:val="20"/>
        </w:rPr>
      </w:pPr>
      <w:r>
        <w:rPr>
          <w:rFonts w:hint="eastAsia" w:ascii="Times New Roman" w:hAnsi="Times New Roman" w:eastAsia="仿宋_GB2312"/>
          <w:b w:val="0"/>
          <w:bCs w:val="0"/>
          <w:kern w:val="0"/>
          <w:sz w:val="32"/>
          <w:szCs w:val="20"/>
        </w:rPr>
        <w:t>第七条  资产损失认定。包括直接损失和间接损失。其金额及影响，可根据司法、行政机关等依法出具的书面文件，具有相应资质的会计师事务所、资产评估机构、律师事务所、专业技术鉴定机构等专业机构出具的专业报告，企业内部证明材料等，综合研判认定。</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Times New Roman" w:hAnsi="Times New Roman" w:eastAsia="仿宋_GB2312"/>
          <w:b w:val="0"/>
          <w:bCs w:val="0"/>
          <w:kern w:val="0"/>
          <w:sz w:val="32"/>
          <w:szCs w:val="20"/>
        </w:rPr>
      </w:pPr>
      <w:r>
        <w:rPr>
          <w:rFonts w:hint="eastAsia" w:ascii="Times New Roman" w:hAnsi="Times New Roman" w:eastAsia="仿宋_GB2312"/>
          <w:b w:val="0"/>
          <w:bCs w:val="0"/>
          <w:kern w:val="0"/>
          <w:sz w:val="32"/>
          <w:szCs w:val="20"/>
        </w:rPr>
        <w:t>资产损失按金额大小和影响程度划分为一般资产损失（单笔损失在30万元以下）、较大资产损失（单笔损失在30万元至100万元以下）和重大资产损失（单笔损失在100万元及以上）。损失金额虽未达上述标准，但损失后果严重，影响企业持续经营的，认定为重大资产损失。</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Times New Roman" w:hAnsi="Times New Roman" w:eastAsia="仿宋_GB2312"/>
          <w:b w:val="0"/>
          <w:bCs w:val="0"/>
          <w:kern w:val="0"/>
          <w:sz w:val="32"/>
          <w:szCs w:val="20"/>
        </w:rPr>
      </w:pPr>
      <w:r>
        <w:rPr>
          <w:rFonts w:hint="eastAsia" w:ascii="Times New Roman" w:hAnsi="Times New Roman" w:eastAsia="仿宋_GB2312"/>
          <w:b w:val="0"/>
          <w:bCs w:val="0"/>
          <w:kern w:val="0"/>
          <w:sz w:val="32"/>
          <w:szCs w:val="20"/>
        </w:rPr>
        <w:t>第八条  责任认定。违规经营投资损失责任根据工作职责划分为直接责任、主管责任和领导责任：</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Times New Roman" w:hAnsi="Times New Roman" w:eastAsia="仿宋_GB2312"/>
          <w:b w:val="0"/>
          <w:bCs w:val="0"/>
          <w:kern w:val="0"/>
          <w:sz w:val="32"/>
          <w:szCs w:val="20"/>
        </w:rPr>
      </w:pPr>
      <w:r>
        <w:rPr>
          <w:rFonts w:hint="eastAsia" w:ascii="Times New Roman" w:hAnsi="Times New Roman" w:eastAsia="仿宋_GB2312"/>
          <w:b w:val="0"/>
          <w:bCs w:val="0"/>
          <w:kern w:val="0"/>
          <w:sz w:val="32"/>
          <w:szCs w:val="20"/>
        </w:rPr>
        <w:t>（一）直接责任是指相关人员在其工作职责范围内，违反规定，未履行或未正确履行职责，对造成的资产损失或其他严重不良后果起决定性直接作用时应当承担的责任；</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Times New Roman" w:hAnsi="Times New Roman" w:eastAsia="仿宋_GB2312"/>
          <w:b w:val="0"/>
          <w:bCs w:val="0"/>
          <w:kern w:val="0"/>
          <w:sz w:val="32"/>
          <w:szCs w:val="20"/>
        </w:rPr>
      </w:pPr>
      <w:r>
        <w:rPr>
          <w:rFonts w:hint="eastAsia" w:ascii="Times New Roman" w:hAnsi="Times New Roman" w:eastAsia="仿宋_GB2312"/>
          <w:b w:val="0"/>
          <w:bCs w:val="0"/>
          <w:kern w:val="0"/>
          <w:sz w:val="32"/>
          <w:szCs w:val="20"/>
        </w:rPr>
        <w:t>（二）主管责任是指相关人员在其直接主管（分管）工作职责范围内，违反规定，未履行或未正确履行职责，对造成的资产损失或其他严重不良后果应当承担的责任；</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Times New Roman" w:hAnsi="Times New Roman" w:eastAsia="仿宋_GB2312"/>
          <w:b w:val="0"/>
          <w:bCs w:val="0"/>
          <w:kern w:val="0"/>
          <w:sz w:val="32"/>
          <w:szCs w:val="20"/>
        </w:rPr>
      </w:pPr>
      <w:r>
        <w:rPr>
          <w:rFonts w:hint="eastAsia" w:ascii="Times New Roman" w:hAnsi="Times New Roman" w:eastAsia="仿宋_GB2312"/>
          <w:b w:val="0"/>
          <w:bCs w:val="0"/>
          <w:kern w:val="0"/>
          <w:sz w:val="32"/>
          <w:szCs w:val="20"/>
        </w:rPr>
        <w:t>（三）领导责任是指企业主要负责人在其工作职责范围内，违反规定，未履行或未正确履行职责，对造成的资产损失或其他严重不良后果应当承担的责任。</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Times New Roman" w:hAnsi="Times New Roman" w:eastAsia="仿宋_GB2312"/>
          <w:b w:val="0"/>
          <w:bCs w:val="0"/>
          <w:kern w:val="0"/>
          <w:sz w:val="32"/>
          <w:szCs w:val="20"/>
        </w:rPr>
      </w:pPr>
      <w:r>
        <w:rPr>
          <w:rFonts w:hint="eastAsia" w:ascii="Times New Roman" w:hAnsi="Times New Roman" w:eastAsia="仿宋_GB2312"/>
          <w:b w:val="0"/>
          <w:bCs w:val="0"/>
          <w:kern w:val="0"/>
          <w:sz w:val="32"/>
          <w:szCs w:val="20"/>
        </w:rPr>
        <w:t>第九条  违反规定瞒报、漏报或谎报较大及以上国有资产损失的，对企业主要负责人和分管负责人比照领导责任和主管责任进行责任认定。</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Times New Roman" w:hAnsi="Times New Roman" w:eastAsia="仿宋_GB2312"/>
          <w:b w:val="0"/>
          <w:bCs w:val="0"/>
          <w:kern w:val="0"/>
          <w:sz w:val="32"/>
          <w:szCs w:val="20"/>
        </w:rPr>
      </w:pPr>
      <w:r>
        <w:rPr>
          <w:rFonts w:hint="eastAsia" w:ascii="Times New Roman" w:hAnsi="Times New Roman" w:eastAsia="仿宋_GB2312"/>
          <w:b w:val="0"/>
          <w:bCs w:val="0"/>
          <w:kern w:val="0"/>
          <w:sz w:val="32"/>
          <w:szCs w:val="20"/>
        </w:rPr>
        <w:t>第十条  追责处罚。企业违规经营投资发生资产损失，经过查证核实和责任认定后，除依据有关规定给予纪律处分或依法移送监察机关或司法机关处理外，应当根据损失程度及影响对企业相关责任人分别给予以下处理：</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Times New Roman" w:hAnsi="Times New Roman" w:eastAsia="仿宋_GB2312"/>
          <w:b w:val="0"/>
          <w:bCs w:val="0"/>
          <w:kern w:val="0"/>
          <w:sz w:val="32"/>
          <w:szCs w:val="20"/>
        </w:rPr>
      </w:pPr>
      <w:r>
        <w:rPr>
          <w:rFonts w:hint="eastAsia" w:ascii="Times New Roman" w:hAnsi="Times New Roman" w:eastAsia="仿宋_GB2312"/>
          <w:b w:val="0"/>
          <w:bCs w:val="0"/>
          <w:kern w:val="0"/>
          <w:sz w:val="32"/>
          <w:szCs w:val="20"/>
        </w:rPr>
        <w:t>（一）造成一般资产损失的，对直接责任人和主管责任人，视情节给予批评教育、责令书面检查、通报批评、诫勉或停职等处理，扣减和追索责任认定年度15%—50%绩效年薪、扣减和追索责任认定年度（含）前三年15%—50%任期激励收入并延期支付绩效年薪。</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Times New Roman" w:hAnsi="Times New Roman" w:eastAsia="仿宋_GB2312"/>
          <w:b w:val="0"/>
          <w:bCs w:val="0"/>
          <w:kern w:val="0"/>
          <w:sz w:val="32"/>
          <w:szCs w:val="20"/>
        </w:rPr>
      </w:pPr>
      <w:r>
        <w:rPr>
          <w:rFonts w:hint="eastAsia" w:ascii="Times New Roman" w:hAnsi="Times New Roman" w:eastAsia="仿宋_GB2312"/>
          <w:b w:val="0"/>
          <w:bCs w:val="0"/>
          <w:kern w:val="0"/>
          <w:sz w:val="32"/>
          <w:szCs w:val="20"/>
        </w:rPr>
        <w:t>对领导责任人视情节给予批评教育、责令书面检查、通报批评、诫勉等处理，扣减和追索责任认定年度15%—30%绩效年薪、扣减和追索责任认定年度（含）前三年15%—30%任期激励收入并延期支付绩效年薪。</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Times New Roman" w:hAnsi="Times New Roman" w:eastAsia="仿宋_GB2312"/>
          <w:b w:val="0"/>
          <w:bCs w:val="0"/>
          <w:kern w:val="0"/>
          <w:sz w:val="32"/>
          <w:szCs w:val="20"/>
        </w:rPr>
      </w:pPr>
      <w:r>
        <w:rPr>
          <w:rFonts w:hint="eastAsia" w:ascii="Times New Roman" w:hAnsi="Times New Roman" w:eastAsia="仿宋_GB2312"/>
          <w:b w:val="0"/>
          <w:bCs w:val="0"/>
          <w:kern w:val="0"/>
          <w:sz w:val="32"/>
          <w:szCs w:val="20"/>
        </w:rPr>
        <w:t>（二）造成较大资产损失的，对直接责任人和主管责任人视情节给予通报批评、诫勉、停职、调离工作岗位、降职等处理，扣减和追索责任认定年度50%—100%的绩效年薪、扣减和追索责任认定年度（含）前三年50%—100%的任期激励收入并延期支付绩效年薪，终止尚未行使的中长期激励权益、上缴责任认定年度及前一年度的全部中长期激励收益、五年内不得参加企业新的中长期激励。</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Times New Roman" w:hAnsi="Times New Roman" w:eastAsia="仿宋_GB2312"/>
          <w:b w:val="0"/>
          <w:bCs w:val="0"/>
          <w:kern w:val="0"/>
          <w:sz w:val="32"/>
          <w:szCs w:val="20"/>
        </w:rPr>
      </w:pPr>
      <w:r>
        <w:rPr>
          <w:rFonts w:hint="eastAsia" w:ascii="Times New Roman" w:hAnsi="Times New Roman" w:eastAsia="仿宋_GB2312"/>
          <w:b w:val="0"/>
          <w:bCs w:val="0"/>
          <w:kern w:val="0"/>
          <w:sz w:val="32"/>
          <w:szCs w:val="20"/>
        </w:rPr>
        <w:t>对领导责任人视情节给予通报批评、诚勉、停职、调离工作岗位等处理，扣减和追索责任认定年度30%—70%的绩效年薪、扣减和追索责任认定年度（含）前三年30%—70%的任期激励收入并延期支付绩效年薪，终止尚未行使的中长期激励权益、三年内不得参加企业新的中长期激励。</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Times New Roman" w:hAnsi="Times New Roman" w:eastAsia="仿宋_GB2312"/>
          <w:b w:val="0"/>
          <w:bCs w:val="0"/>
          <w:kern w:val="0"/>
          <w:sz w:val="32"/>
          <w:szCs w:val="20"/>
        </w:rPr>
      </w:pPr>
      <w:r>
        <w:rPr>
          <w:rFonts w:hint="eastAsia" w:ascii="Times New Roman" w:hAnsi="Times New Roman" w:eastAsia="仿宋_GB2312"/>
          <w:b w:val="0"/>
          <w:bCs w:val="0"/>
          <w:kern w:val="0"/>
          <w:sz w:val="32"/>
          <w:szCs w:val="20"/>
        </w:rPr>
        <w:t>（三）造成重大资产损失的，对直接责任人和主管责任人，视情节给予降职、改任非领导职务、责令辞职、免职和禁入限制等处理，扣减和追索责任认定年度100%的绩效年薪、扣减和追索责任认定年度（含）前三年100%的任期激励收入并延期支付绩效年薪，终止尚未行使的中长期激励权益、上缴责任认定年度（含）前三年的全部中长期激励收益、不得参加企业新的中长期激励。</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Times New Roman" w:hAnsi="Times New Roman" w:eastAsia="仿宋_GB2312"/>
          <w:b w:val="0"/>
          <w:bCs w:val="0"/>
          <w:kern w:val="0"/>
          <w:sz w:val="32"/>
          <w:szCs w:val="20"/>
        </w:rPr>
      </w:pPr>
      <w:r>
        <w:rPr>
          <w:rFonts w:hint="eastAsia" w:ascii="Times New Roman" w:hAnsi="Times New Roman" w:eastAsia="仿宋_GB2312"/>
          <w:b w:val="0"/>
          <w:bCs w:val="0"/>
          <w:kern w:val="0"/>
          <w:sz w:val="32"/>
          <w:szCs w:val="20"/>
        </w:rPr>
        <w:t>对领导责任人视情节给予调离工作岗位、降职、改任非领导职务、责令辞职、免职、禁入限制等处理，扣减和追索责任认定年度70%—100%的绩效年薪、扣减和追索责任认定年度（含）前三年70%—100%的任期激励收入并延期支付绩效年薪，终止尚未行使的中长期激励权益、上缴责任认定年度（含）前三年的全部中长期激励收益、五年内不得参加企业新的中长期激励。</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Times New Roman" w:hAnsi="Times New Roman" w:eastAsia="仿宋_GB2312"/>
          <w:b w:val="0"/>
          <w:bCs w:val="0"/>
          <w:kern w:val="0"/>
          <w:sz w:val="32"/>
          <w:szCs w:val="20"/>
        </w:rPr>
      </w:pPr>
      <w:r>
        <w:rPr>
          <w:rFonts w:hint="eastAsia" w:ascii="Times New Roman" w:hAnsi="Times New Roman" w:eastAsia="仿宋_GB2312"/>
          <w:b w:val="0"/>
          <w:bCs w:val="0"/>
          <w:kern w:val="0"/>
          <w:sz w:val="32"/>
          <w:szCs w:val="20"/>
        </w:rPr>
        <w:t>（四）责任人在责任认定年度已不在本企业领取绩效年薪的，按离职前一年度全部绩效年薪及前三年任期激励收入总和计算，参照本办法有关规定追索扣回其薪酬。</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Times New Roman" w:hAnsi="Times New Roman" w:eastAsia="仿宋_GB2312"/>
          <w:b w:val="0"/>
          <w:bCs w:val="0"/>
          <w:kern w:val="0"/>
          <w:sz w:val="32"/>
          <w:szCs w:val="20"/>
        </w:rPr>
      </w:pPr>
      <w:r>
        <w:rPr>
          <w:rFonts w:hint="eastAsia" w:ascii="Times New Roman" w:hAnsi="Times New Roman" w:eastAsia="仿宋_GB2312"/>
          <w:b w:val="0"/>
          <w:bCs w:val="0"/>
          <w:kern w:val="0"/>
          <w:sz w:val="32"/>
          <w:szCs w:val="20"/>
        </w:rPr>
        <w:t>（五）对同一事件、同一责任人的薪酬扣减和追索，按照党纪处分、政务处分、责任追究等扣减薪酬处理的最高标准执行，不合并使用。</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Times New Roman" w:hAnsi="Times New Roman" w:eastAsia="仿宋_GB2312"/>
          <w:b w:val="0"/>
          <w:bCs w:val="0"/>
          <w:kern w:val="0"/>
          <w:sz w:val="32"/>
          <w:szCs w:val="20"/>
        </w:rPr>
      </w:pPr>
      <w:r>
        <w:rPr>
          <w:rFonts w:hint="eastAsia" w:ascii="Times New Roman" w:hAnsi="Times New Roman" w:eastAsia="仿宋_GB2312"/>
          <w:b w:val="0"/>
          <w:bCs w:val="0"/>
          <w:kern w:val="0"/>
          <w:sz w:val="32"/>
          <w:szCs w:val="20"/>
        </w:rPr>
        <w:t>责任认定年度是指责任追究处理年度。在责任追究处理年度无任职或任职不满全年的，按照最近一个完整任职年度执行;若无完整任职年度的，参照处理前实际任职月度（不超过12个月）执行。</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Times New Roman" w:hAnsi="Times New Roman" w:eastAsia="仿宋_GB2312"/>
          <w:b w:val="0"/>
          <w:bCs w:val="0"/>
          <w:kern w:val="0"/>
          <w:sz w:val="32"/>
          <w:szCs w:val="20"/>
        </w:rPr>
      </w:pPr>
      <w:r>
        <w:rPr>
          <w:rFonts w:hint="eastAsia" w:ascii="Times New Roman" w:hAnsi="Times New Roman" w:eastAsia="仿宋_GB2312"/>
          <w:b w:val="0"/>
          <w:bCs w:val="0"/>
          <w:kern w:val="0"/>
          <w:sz w:val="32"/>
          <w:szCs w:val="20"/>
        </w:rPr>
        <w:t>第十一条  企业以集体形式违规决策，造成资产损失或其他严重不良后果的，应承担集体责任，给予有关经营决策机构批评教育、责令书面检查、通报批评等处理；造成重大资产损失且危及企业生存发展的，按照规定程序予以改组；决策参与者也应承担相应责任。</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Times New Roman" w:hAnsi="Times New Roman" w:eastAsia="仿宋_GB2312"/>
          <w:b w:val="0"/>
          <w:bCs w:val="0"/>
          <w:kern w:val="0"/>
          <w:sz w:val="32"/>
          <w:szCs w:val="20"/>
        </w:rPr>
      </w:pPr>
      <w:r>
        <w:rPr>
          <w:rFonts w:hint="eastAsia" w:ascii="Times New Roman" w:hAnsi="Times New Roman" w:eastAsia="仿宋_GB2312"/>
          <w:b w:val="0"/>
          <w:bCs w:val="0"/>
          <w:kern w:val="0"/>
          <w:sz w:val="32"/>
          <w:szCs w:val="20"/>
        </w:rPr>
        <w:t>第十二条  所属子企业违规决策，造成国有资产损失或者其他严重不良后果的，上级或更高层级企业经营管理有关人员比照本办法第十条领导责任进行追责处理。</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Times New Roman" w:hAnsi="Times New Roman" w:eastAsia="仿宋_GB2312"/>
          <w:b w:val="0"/>
          <w:bCs w:val="0"/>
          <w:kern w:val="0"/>
          <w:sz w:val="32"/>
          <w:szCs w:val="20"/>
        </w:rPr>
      </w:pPr>
      <w:r>
        <w:rPr>
          <w:rFonts w:hint="eastAsia" w:ascii="Times New Roman" w:hAnsi="Times New Roman" w:eastAsia="仿宋_GB2312"/>
          <w:b w:val="0"/>
          <w:bCs w:val="0"/>
          <w:kern w:val="0"/>
          <w:sz w:val="32"/>
          <w:szCs w:val="20"/>
        </w:rPr>
        <w:t>第十三条  组织实施。责任追究工作一般遵循受理、初步核实、分类处置、核查、处理和整改等程序。企业负责本企业一般、较大资产损失责任追究工作。国有资产监督管理机构负责组织开展企业重大资产损失责任追究工作，或认为有必要直接组织开展的责任追究工作，指导和监督企业开展违规经营投资损失责任追究工作。</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Times New Roman" w:hAnsi="Times New Roman" w:eastAsia="仿宋_GB2312"/>
          <w:b w:val="0"/>
          <w:bCs w:val="0"/>
          <w:kern w:val="0"/>
          <w:sz w:val="32"/>
          <w:szCs w:val="20"/>
        </w:rPr>
      </w:pPr>
      <w:r>
        <w:rPr>
          <w:rFonts w:hint="eastAsia" w:ascii="Times New Roman" w:hAnsi="Times New Roman" w:eastAsia="仿宋_GB2312"/>
          <w:b w:val="0"/>
          <w:bCs w:val="0"/>
          <w:kern w:val="0"/>
          <w:sz w:val="32"/>
          <w:szCs w:val="20"/>
        </w:rPr>
        <w:t>第十四条  未履行或者未正确履行决策程序以及执行中造成国有资产损失或者其他严重不良后果的，按照管理权限，依规依纪依法予以终身追责。</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Times New Roman" w:hAnsi="Times New Roman" w:eastAsia="仿宋_GB2312"/>
          <w:b w:val="0"/>
          <w:bCs w:val="0"/>
          <w:kern w:val="0"/>
          <w:sz w:val="32"/>
          <w:szCs w:val="20"/>
        </w:rPr>
      </w:pPr>
      <w:r>
        <w:rPr>
          <w:rFonts w:hint="eastAsia" w:ascii="Times New Roman" w:hAnsi="Times New Roman" w:eastAsia="仿宋_GB2312"/>
          <w:b w:val="0"/>
          <w:bCs w:val="0"/>
          <w:kern w:val="0"/>
          <w:sz w:val="32"/>
          <w:szCs w:val="20"/>
        </w:rPr>
        <w:t>第十五条  企业经营管理人员任职期间对企业重大决策，在重大决策过程或执行中，违反《湖南省国资委关于印发监管企业“十严禁”规定的通知》（湘国资〔2021〕268号）规定和有下列情形之一，造成国有资产损失或者其他严重不良后果的，应当追究相关责任人的终身责任：</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Times New Roman" w:hAnsi="Times New Roman" w:eastAsia="仿宋_GB2312"/>
          <w:b w:val="0"/>
          <w:bCs w:val="0"/>
          <w:kern w:val="0"/>
          <w:sz w:val="32"/>
          <w:szCs w:val="20"/>
        </w:rPr>
      </w:pPr>
      <w:r>
        <w:rPr>
          <w:rFonts w:hint="eastAsia" w:ascii="Times New Roman" w:hAnsi="Times New Roman" w:eastAsia="仿宋_GB2312"/>
          <w:b w:val="0"/>
          <w:bCs w:val="0"/>
          <w:kern w:val="0"/>
          <w:sz w:val="32"/>
          <w:szCs w:val="20"/>
        </w:rPr>
        <w:t>（一）未按照规定程序和议事规则决策的；</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Times New Roman" w:hAnsi="Times New Roman" w:eastAsia="仿宋_GB2312"/>
          <w:b w:val="0"/>
          <w:bCs w:val="0"/>
          <w:kern w:val="0"/>
          <w:sz w:val="32"/>
          <w:szCs w:val="20"/>
        </w:rPr>
      </w:pPr>
      <w:r>
        <w:rPr>
          <w:rFonts w:hint="eastAsia" w:ascii="Times New Roman" w:hAnsi="Times New Roman" w:eastAsia="仿宋_GB2312"/>
          <w:b w:val="0"/>
          <w:bCs w:val="0"/>
          <w:kern w:val="0"/>
          <w:sz w:val="32"/>
          <w:szCs w:val="20"/>
        </w:rPr>
        <w:t>（二）超越职权、承受能力决策的；</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Times New Roman" w:hAnsi="Times New Roman" w:eastAsia="仿宋_GB2312"/>
          <w:b w:val="0"/>
          <w:bCs w:val="0"/>
          <w:kern w:val="0"/>
          <w:sz w:val="32"/>
          <w:szCs w:val="20"/>
        </w:rPr>
      </w:pPr>
      <w:r>
        <w:rPr>
          <w:rFonts w:hint="eastAsia" w:ascii="Times New Roman" w:hAnsi="Times New Roman" w:eastAsia="仿宋_GB2312"/>
          <w:b w:val="0"/>
          <w:bCs w:val="0"/>
          <w:kern w:val="0"/>
          <w:sz w:val="32"/>
          <w:szCs w:val="20"/>
        </w:rPr>
        <w:t>（三）开展脱实向虚、非主业投资或与自己主业无关的期货交易、不做尽职调查和尽职调查不充分投资的；</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Times New Roman" w:hAnsi="Times New Roman" w:eastAsia="仿宋_GB2312"/>
          <w:b w:val="0"/>
          <w:bCs w:val="0"/>
          <w:kern w:val="0"/>
          <w:sz w:val="32"/>
          <w:szCs w:val="20"/>
        </w:rPr>
      </w:pPr>
      <w:r>
        <w:rPr>
          <w:rFonts w:hint="eastAsia" w:ascii="Times New Roman" w:hAnsi="Times New Roman" w:eastAsia="仿宋_GB2312"/>
          <w:b w:val="0"/>
          <w:bCs w:val="0"/>
          <w:kern w:val="0"/>
          <w:sz w:val="32"/>
          <w:szCs w:val="20"/>
        </w:rPr>
        <w:t>（四）为他人提供担保、为他人拆借资金和开展理财、炒股、融资性贸易的；</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Times New Roman" w:hAnsi="Times New Roman" w:eastAsia="仿宋_GB2312"/>
          <w:b w:val="0"/>
          <w:bCs w:val="0"/>
          <w:kern w:val="0"/>
          <w:sz w:val="32"/>
          <w:szCs w:val="20"/>
        </w:rPr>
      </w:pPr>
      <w:r>
        <w:rPr>
          <w:rFonts w:hint="eastAsia" w:ascii="Times New Roman" w:hAnsi="Times New Roman" w:eastAsia="仿宋_GB2312"/>
          <w:b w:val="0"/>
          <w:bCs w:val="0"/>
          <w:kern w:val="0"/>
          <w:sz w:val="32"/>
          <w:szCs w:val="20"/>
        </w:rPr>
        <w:t>（五）做虚账假账的；</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Times New Roman" w:hAnsi="Times New Roman" w:eastAsia="仿宋_GB2312"/>
          <w:b w:val="0"/>
          <w:bCs w:val="0"/>
          <w:kern w:val="0"/>
          <w:sz w:val="32"/>
          <w:szCs w:val="20"/>
        </w:rPr>
      </w:pPr>
      <w:r>
        <w:rPr>
          <w:rFonts w:hint="eastAsia" w:ascii="Times New Roman" w:hAnsi="Times New Roman" w:eastAsia="仿宋_GB2312"/>
          <w:b w:val="0"/>
          <w:bCs w:val="0"/>
          <w:kern w:val="0"/>
          <w:sz w:val="32"/>
          <w:szCs w:val="20"/>
        </w:rPr>
        <w:t>（六）对违法违规的决策不反对、不制止的；</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Times New Roman" w:hAnsi="Times New Roman" w:eastAsia="仿宋_GB2312"/>
          <w:b w:val="0"/>
          <w:bCs w:val="0"/>
          <w:kern w:val="0"/>
          <w:sz w:val="32"/>
          <w:szCs w:val="20"/>
        </w:rPr>
      </w:pPr>
      <w:r>
        <w:rPr>
          <w:rFonts w:hint="eastAsia" w:ascii="Times New Roman" w:hAnsi="Times New Roman" w:eastAsia="仿宋_GB2312"/>
          <w:b w:val="0"/>
          <w:bCs w:val="0"/>
          <w:kern w:val="0"/>
          <w:sz w:val="32"/>
          <w:szCs w:val="20"/>
        </w:rPr>
        <w:t>（七）对有时限要求的重大决策事项久拖不决的；</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Times New Roman" w:hAnsi="Times New Roman" w:eastAsia="仿宋_GB2312"/>
          <w:b w:val="0"/>
          <w:bCs w:val="0"/>
          <w:kern w:val="0"/>
          <w:sz w:val="32"/>
          <w:szCs w:val="20"/>
        </w:rPr>
      </w:pPr>
      <w:r>
        <w:rPr>
          <w:rFonts w:hint="eastAsia" w:ascii="Times New Roman" w:hAnsi="Times New Roman" w:eastAsia="仿宋_GB2312"/>
          <w:b w:val="0"/>
          <w:bCs w:val="0"/>
          <w:kern w:val="0"/>
          <w:sz w:val="32"/>
          <w:szCs w:val="20"/>
        </w:rPr>
        <w:t>（八）拒绝、推诿、拖延执行决策，导致决策不能全面、及时、正确实施的；</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Times New Roman" w:hAnsi="Times New Roman" w:eastAsia="仿宋_GB2312"/>
          <w:b w:val="0"/>
          <w:bCs w:val="0"/>
          <w:kern w:val="0"/>
          <w:sz w:val="32"/>
          <w:szCs w:val="20"/>
        </w:rPr>
      </w:pPr>
      <w:r>
        <w:rPr>
          <w:rFonts w:hint="eastAsia" w:ascii="Times New Roman" w:hAnsi="Times New Roman" w:eastAsia="仿宋_GB2312"/>
          <w:b w:val="0"/>
          <w:bCs w:val="0"/>
          <w:kern w:val="0"/>
          <w:sz w:val="32"/>
          <w:szCs w:val="20"/>
        </w:rPr>
        <w:t>（九）不完全执行、变相执行或者执行中偏离决策方案，导致决策不能全面、及时、正确实施的；</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Times New Roman" w:hAnsi="Times New Roman" w:eastAsia="仿宋_GB2312"/>
          <w:b w:val="0"/>
          <w:bCs w:val="0"/>
          <w:kern w:val="0"/>
          <w:sz w:val="32"/>
          <w:szCs w:val="20"/>
        </w:rPr>
      </w:pPr>
      <w:r>
        <w:rPr>
          <w:rFonts w:hint="eastAsia" w:ascii="Times New Roman" w:hAnsi="Times New Roman" w:eastAsia="仿宋_GB2312"/>
          <w:b w:val="0"/>
          <w:bCs w:val="0"/>
          <w:kern w:val="0"/>
          <w:sz w:val="32"/>
          <w:szCs w:val="20"/>
        </w:rPr>
        <w:t>（十）决策所依据的客观情况发生重大变化，或者决策执行中发生不可抗力等影响决策目标实现，决策执行单位未及时报告的；</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Times New Roman" w:hAnsi="Times New Roman" w:eastAsia="仿宋_GB2312"/>
          <w:b w:val="0"/>
          <w:bCs w:val="0"/>
          <w:kern w:val="0"/>
          <w:sz w:val="32"/>
          <w:szCs w:val="20"/>
        </w:rPr>
      </w:pPr>
      <w:r>
        <w:rPr>
          <w:rFonts w:hint="eastAsia" w:ascii="Times New Roman" w:hAnsi="Times New Roman" w:eastAsia="仿宋_GB2312"/>
          <w:b w:val="0"/>
          <w:bCs w:val="0"/>
          <w:kern w:val="0"/>
          <w:sz w:val="32"/>
          <w:szCs w:val="20"/>
        </w:rPr>
        <w:t>（十一）其他依照法律法规、公司章程或者有关规定应当追究责任的情形。</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Times New Roman" w:hAnsi="Times New Roman" w:eastAsia="仿宋_GB2312"/>
          <w:b w:val="0"/>
          <w:bCs w:val="0"/>
          <w:kern w:val="0"/>
          <w:sz w:val="32"/>
          <w:szCs w:val="20"/>
        </w:rPr>
      </w:pPr>
      <w:r>
        <w:rPr>
          <w:rFonts w:hint="eastAsia" w:ascii="Times New Roman" w:hAnsi="Times New Roman" w:eastAsia="仿宋_GB2312"/>
          <w:b w:val="0"/>
          <w:bCs w:val="0"/>
          <w:kern w:val="0"/>
          <w:sz w:val="32"/>
          <w:szCs w:val="20"/>
        </w:rPr>
        <w:t>第十六条  相关事项属于尽职合规免责事项清单的，根据有关规定和程序予以容错；属于贯彻落实党和国家重大决策部署、各级党委政府重要工作安排，非人为因素产生的正常损失的，按“三个区分开来”可免责。</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Times New Roman" w:hAnsi="Times New Roman" w:eastAsia="仿宋_GB2312"/>
          <w:b w:val="0"/>
          <w:bCs w:val="0"/>
          <w:kern w:val="0"/>
          <w:sz w:val="32"/>
          <w:szCs w:val="20"/>
        </w:rPr>
      </w:pPr>
      <w:r>
        <w:rPr>
          <w:rFonts w:hint="eastAsia" w:ascii="Times New Roman" w:hAnsi="Times New Roman" w:eastAsia="仿宋_GB2312"/>
          <w:b w:val="0"/>
          <w:bCs w:val="0"/>
          <w:kern w:val="0"/>
          <w:sz w:val="32"/>
          <w:szCs w:val="20"/>
        </w:rPr>
        <w:t>第十七条  本办法自公布之日起施行。</w:t>
      </w:r>
    </w:p>
    <w:p>
      <w:pPr>
        <w:pStyle w:val="2"/>
        <w:rPr>
          <w:rFonts w:hint="eastAsia" w:ascii="Times New Roman" w:hAnsi="Times New Roman" w:eastAsia="仿宋_GB2312"/>
          <w:kern w:val="0"/>
          <w:sz w:val="32"/>
          <w:szCs w:val="20"/>
        </w:rPr>
      </w:pPr>
    </w:p>
    <w:p>
      <w:pPr>
        <w:pStyle w:val="2"/>
        <w:rPr>
          <w:rFonts w:hint="eastAsia" w:ascii="Times New Roman" w:hAnsi="Times New Roman" w:eastAsia="仿宋_GB2312"/>
          <w:kern w:val="0"/>
          <w:sz w:val="32"/>
          <w:szCs w:val="20"/>
        </w:rPr>
      </w:pPr>
    </w:p>
    <w:p>
      <w:pPr>
        <w:pStyle w:val="2"/>
        <w:rPr>
          <w:rFonts w:hint="eastAsia" w:ascii="Times New Roman" w:hAnsi="Times New Roman" w:eastAsia="仿宋_GB2312"/>
          <w:kern w:val="0"/>
          <w:sz w:val="32"/>
          <w:szCs w:val="20"/>
        </w:rPr>
      </w:pPr>
    </w:p>
    <w:p>
      <w:pPr>
        <w:pStyle w:val="2"/>
        <w:rPr>
          <w:rFonts w:hint="eastAsia" w:ascii="Times New Roman" w:hAnsi="Times New Roman" w:eastAsia="仿宋_GB2312"/>
          <w:kern w:val="0"/>
          <w:sz w:val="32"/>
          <w:szCs w:val="20"/>
        </w:rPr>
      </w:pPr>
    </w:p>
    <w:p>
      <w:pPr>
        <w:pStyle w:val="2"/>
        <w:rPr>
          <w:rFonts w:hint="eastAsia" w:ascii="Times New Roman" w:hAnsi="Times New Roman" w:eastAsia="仿宋_GB2312"/>
          <w:kern w:val="0"/>
          <w:sz w:val="32"/>
          <w:szCs w:val="2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hNmE3MGY4MzljOWJlOTRiYTRmNGY1MDYyMWY5ZDMifQ=="/>
  </w:docVars>
  <w:rsids>
    <w:rsidRoot w:val="36CE364F"/>
    <w:rsid w:val="36CE3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First Indent 2"/>
    <w:unhideWhenUsed/>
    <w:qFormat/>
    <w:uiPriority w:val="99"/>
    <w:pPr>
      <w:widowControl w:val="0"/>
      <w:spacing w:line="480" w:lineRule="exact"/>
      <w:ind w:firstLine="420" w:firstLineChars="200"/>
      <w:jc w:val="left"/>
    </w:pPr>
    <w:rPr>
      <w:rFonts w:ascii="仿宋_GB2312" w:hAnsi="宋体" w:eastAsia="仿宋_GB2312" w:cs="Times New Roman"/>
      <w:b/>
      <w:bCs/>
      <w:kern w:val="0"/>
      <w:sz w:val="28"/>
      <w:szCs w:val="28"/>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2022-11-23T01:38:00Z</dcterms:created>
  <dc:creator>Administrator</dc:creator>
  <cp:lastModifiedBy>Administrator</cp:lastModifiedBy>
  <dcterms:modified xsi:type="dcterms:W3CDTF">2022-11-23T01:38:50Z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3FECF783BB72452D92EF08542551ABDA</vt:lpwstr>
  </property>
</Properties>
</file>