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ascii="黑体" w:hAnsi="黑体" w:eastAsia="黑体"/>
          <w:color w:val="000000"/>
          <w:sz w:val="36"/>
          <w:szCs w:val="36"/>
        </w:rPr>
      </w:pPr>
      <w:r>
        <w:rPr>
          <w:rFonts w:hint="eastAsia" w:ascii="黑体" w:hAnsi="黑体" w:eastAsia="黑体"/>
          <w:color w:val="000000"/>
          <w:sz w:val="36"/>
          <w:szCs w:val="36"/>
        </w:rPr>
        <w:t>2021年部门整体支出绩效自评指标计分表</w:t>
      </w:r>
    </w:p>
    <w:p>
      <w:pPr>
        <w:spacing w:line="300" w:lineRule="exact"/>
        <w:ind w:firstLine="640"/>
        <w:rPr>
          <w:rFonts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1141"/>
        <w:gridCol w:w="1134"/>
        <w:gridCol w:w="993"/>
        <w:gridCol w:w="850"/>
        <w:gridCol w:w="1985"/>
        <w:gridCol w:w="3889"/>
      </w:tblGrid>
      <w:tr>
        <w:tblPrEx>
          <w:tblCellMar>
            <w:top w:w="0" w:type="dxa"/>
            <w:left w:w="0" w:type="dxa"/>
            <w:bottom w:w="0" w:type="dxa"/>
            <w:right w:w="0" w:type="dxa"/>
          </w:tblCellMar>
        </w:tblPrEx>
        <w:trPr>
          <w:trHeight w:val="591" w:hRule="atLeast"/>
          <w:jc w:val="center"/>
        </w:trPr>
        <w:tc>
          <w:tcPr>
            <w:tcW w:w="1141"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after="100" w:afterAutospacing="1" w:line="240" w:lineRule="exact"/>
              <w:jc w:val="center"/>
              <w:rPr>
                <w:rFonts w:ascii="黑体" w:hAnsi="黑体" w:eastAsia="黑体"/>
                <w:color w:val="000000"/>
              </w:rPr>
            </w:pPr>
            <w:r>
              <w:rPr>
                <w:rFonts w:hint="eastAsia" w:ascii="黑体" w:hAnsi="黑体" w:eastAsia="黑体"/>
                <w:color w:val="000000"/>
              </w:rPr>
              <w:t>一级指标</w:t>
            </w:r>
          </w:p>
        </w:tc>
        <w:tc>
          <w:tcPr>
            <w:tcW w:w="11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after="100" w:afterAutospacing="1" w:line="240" w:lineRule="exact"/>
              <w:jc w:val="center"/>
              <w:rPr>
                <w:rFonts w:ascii="黑体" w:hAnsi="黑体" w:eastAsia="黑体"/>
                <w:color w:val="000000"/>
              </w:rPr>
            </w:pPr>
            <w:r>
              <w:rPr>
                <w:rFonts w:hint="eastAsia" w:ascii="黑体" w:hAnsi="黑体" w:eastAsia="黑体"/>
                <w:color w:val="000000"/>
              </w:rPr>
              <w:t>二级指标</w:t>
            </w:r>
          </w:p>
        </w:tc>
        <w:tc>
          <w:tcPr>
            <w:tcW w:w="99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after="100" w:afterAutospacing="1" w:line="240" w:lineRule="exact"/>
              <w:rPr>
                <w:rFonts w:ascii="黑体" w:hAnsi="黑体" w:eastAsia="黑体"/>
                <w:color w:val="000000"/>
              </w:rPr>
            </w:pPr>
            <w:r>
              <w:rPr>
                <w:rFonts w:hint="eastAsia" w:ascii="黑体" w:hAnsi="黑体" w:eastAsia="黑体"/>
                <w:color w:val="000000"/>
              </w:rPr>
              <w:t>三级指标</w:t>
            </w:r>
          </w:p>
        </w:tc>
        <w:tc>
          <w:tcPr>
            <w:tcW w:w="850" w:type="dxa"/>
            <w:tcBorders>
              <w:top w:val="single" w:color="auto" w:sz="4" w:space="0"/>
              <w:left w:val="nil"/>
              <w:bottom w:val="single" w:color="auto" w:sz="4" w:space="0"/>
              <w:right w:val="single" w:color="auto" w:sz="4" w:space="0"/>
            </w:tcBorders>
            <w:vAlign w:val="center"/>
          </w:tcPr>
          <w:p>
            <w:pPr>
              <w:spacing w:after="100" w:afterAutospacing="1" w:line="240" w:lineRule="exact"/>
              <w:jc w:val="center"/>
              <w:rPr>
                <w:rFonts w:ascii="黑体" w:hAnsi="黑体" w:eastAsia="黑体"/>
                <w:color w:val="000000"/>
              </w:rPr>
            </w:pPr>
            <w:r>
              <w:rPr>
                <w:rFonts w:hint="eastAsia" w:ascii="黑体" w:hAnsi="黑体" w:eastAsia="黑体"/>
                <w:color w:val="000000"/>
              </w:rPr>
              <w:t>自评分</w:t>
            </w:r>
          </w:p>
        </w:tc>
        <w:tc>
          <w:tcPr>
            <w:tcW w:w="198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after="100" w:afterAutospacing="1" w:line="240" w:lineRule="exact"/>
              <w:jc w:val="center"/>
              <w:rPr>
                <w:rFonts w:ascii="黑体" w:hAnsi="黑体" w:eastAsia="黑体"/>
                <w:color w:val="000000"/>
              </w:rPr>
            </w:pPr>
            <w:r>
              <w:rPr>
                <w:rFonts w:hint="eastAsia" w:ascii="黑体" w:hAnsi="黑体" w:eastAsia="黑体"/>
                <w:color w:val="000000"/>
              </w:rPr>
              <w:t>指标解释</w:t>
            </w:r>
          </w:p>
        </w:tc>
        <w:tc>
          <w:tcPr>
            <w:tcW w:w="388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after="100" w:afterAutospacing="1" w:line="240" w:lineRule="exact"/>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1141"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rPr>
                <w:rFonts w:ascii="宋体" w:hAnsi="宋体" w:eastAsia="宋体"/>
                <w:color w:val="000000"/>
                <w:sz w:val="18"/>
                <w:szCs w:val="18"/>
              </w:rPr>
            </w:pPr>
            <w:r>
              <w:rPr>
                <w:rFonts w:hint="eastAsia" w:ascii="宋体" w:hAnsi="宋体" w:eastAsia="宋体"/>
                <w:color w:val="000000"/>
                <w:sz w:val="18"/>
                <w:szCs w:val="18"/>
              </w:rPr>
              <w:t>投 入（20分）</w:t>
            </w:r>
          </w:p>
        </w:tc>
        <w:tc>
          <w:tcPr>
            <w:tcW w:w="113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目标</w:t>
            </w:r>
            <w:r>
              <w:rPr>
                <w:rFonts w:hint="eastAsia" w:ascii="宋体" w:hAnsi="宋体" w:eastAsia="宋体"/>
                <w:color w:val="000000"/>
                <w:sz w:val="18"/>
                <w:szCs w:val="18"/>
              </w:rPr>
              <w:br w:type="textWrapping"/>
            </w:r>
            <w:r>
              <w:rPr>
                <w:rFonts w:hint="eastAsia" w:ascii="宋体" w:hAnsi="宋体" w:eastAsia="宋体"/>
                <w:color w:val="000000"/>
                <w:sz w:val="18"/>
                <w:szCs w:val="18"/>
              </w:rPr>
              <w:t>设定</w:t>
            </w:r>
          </w:p>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绩效目标合理性</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部门所设立的整体绩效目标依据是否充分，是否符合客观实际，用以反映和考核部门整体绩效目标与部门履职、年度工作任务的相符性情况。</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绩效指标明确性</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（3分）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部门依据整体绩效目标所设定的绩效指标是否清晰、细化、可衡量，用以反映和考核部门整体绩效目标的明细化情况。</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预算</w:t>
            </w:r>
            <w:r>
              <w:rPr>
                <w:rFonts w:hint="eastAsia" w:ascii="宋体" w:hAnsi="宋体" w:eastAsia="宋体"/>
                <w:color w:val="000000"/>
                <w:sz w:val="18"/>
                <w:szCs w:val="18"/>
              </w:rPr>
              <w:br w:type="textWrapping"/>
            </w:r>
            <w:r>
              <w:rPr>
                <w:rFonts w:hint="eastAsia" w:ascii="宋体" w:hAnsi="宋体" w:eastAsia="宋体"/>
                <w:color w:val="000000"/>
                <w:sz w:val="18"/>
                <w:szCs w:val="18"/>
              </w:rPr>
              <w:t>配置</w:t>
            </w:r>
          </w:p>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（15分）</w:t>
            </w: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在职人员控制率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（5分）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5</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部门本年度实际在职人员数与编制数的比率，用以反映和考核部门对人员成本的控制程度。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“三公</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经费”</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变动率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（5分）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5</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部门本年度“三公经费”预算数与上年度“三公经费”预算数的变动比率，用以反映和考核部门对控制重点行政成本的努力程度。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重点支出安排率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（5分）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5</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部门本年度预算安排的重点项目支出与部门项目总支出的比率，用以反映和考核部门对履行主要职责或完成重点任务的保障程度。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1141"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rPr>
                <w:rFonts w:ascii="宋体" w:hAnsi="宋体" w:eastAsia="宋体"/>
                <w:color w:val="000000"/>
                <w:sz w:val="18"/>
                <w:szCs w:val="18"/>
              </w:rPr>
            </w:pPr>
            <w:r>
              <w:rPr>
                <w:rFonts w:hint="eastAsia" w:ascii="宋体" w:hAnsi="宋体" w:eastAsia="宋体"/>
                <w:color w:val="000000"/>
                <w:sz w:val="18"/>
                <w:szCs w:val="18"/>
              </w:rPr>
              <w:t>过 程（30分）</w:t>
            </w:r>
          </w:p>
        </w:tc>
        <w:tc>
          <w:tcPr>
            <w:tcW w:w="113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预算</w:t>
            </w:r>
          </w:p>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执行</w:t>
            </w:r>
          </w:p>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（20分）</w:t>
            </w:r>
          </w:p>
        </w:tc>
        <w:tc>
          <w:tcPr>
            <w:tcW w:w="99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预算</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完成率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w:t>
            </w:r>
          </w:p>
        </w:tc>
        <w:tc>
          <w:tcPr>
            <w:tcW w:w="198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部门本年度预算完成数与预算数的比率，用以反映和考核部门预算完成程度。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预算</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调整率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w:t>
            </w:r>
          </w:p>
        </w:tc>
        <w:tc>
          <w:tcPr>
            <w:tcW w:w="198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部门本年度预算调整数与预算数的比率，用以反映和考核部门预算的调整程度。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支付</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进度率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w:t>
            </w:r>
          </w:p>
        </w:tc>
        <w:tc>
          <w:tcPr>
            <w:tcW w:w="198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部门实际支付进度与既定支付进度的比率，用以反映和考核部门预算执行的及时性和均衡性程度。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结转结余控制率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w:t>
            </w:r>
          </w:p>
        </w:tc>
        <w:tc>
          <w:tcPr>
            <w:tcW w:w="198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部门本年度结转结余总额与上年结转结余总额增减比例，用以反映和考核部门对存量资金的实际控制程度。</w:t>
            </w:r>
          </w:p>
        </w:tc>
        <w:tc>
          <w:tcPr>
            <w:tcW w:w="388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881"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公用经费控制率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w:t>
            </w:r>
          </w:p>
        </w:tc>
        <w:tc>
          <w:tcPr>
            <w:tcW w:w="198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部门本年度实际支出的公用经费总额与预算安排的公用经费总额的比率，用以反映和考核部门对机构运转成本的实际控制程度。</w:t>
            </w:r>
          </w:p>
        </w:tc>
        <w:tc>
          <w:tcPr>
            <w:tcW w:w="388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556"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“三公经费”控制率（2分）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w:t>
            </w:r>
          </w:p>
        </w:tc>
        <w:tc>
          <w:tcPr>
            <w:tcW w:w="198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部门本年度“三公经费”实际支出数与预算安排数的比率，用以反映和考核部门对“三公经费”的实际控制程度。</w:t>
            </w:r>
          </w:p>
        </w:tc>
        <w:tc>
          <w:tcPr>
            <w:tcW w:w="388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699"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政府采购执行率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3</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部门本年度实际政府采购金额与年初政府采购预算的比率，用以反映和考核部门政府采购预算执行情况。</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预算</w:t>
            </w:r>
          </w:p>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管理</w:t>
            </w:r>
          </w:p>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管理制度健全性</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部门为加强预算管理、规范财务行为而制定的管理制度是否健全完整，用以反映和考核部门预算管理制度对完成主要职责或促进事业发展的保障情况。</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资金使用合规性</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部门使用预算资金是否符合相关的预算财务管理制度的规定，用以反映和考核部门预算资金的规范运行情况。</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预决算信息公开性</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部门是否按照政府信息公开有关规定公开相关预决算信息，用以反映和考核部门预决算管理的公开透明情况。</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基础信息完善性</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部门基础信息是否完善，用以反映和考核基础信息对预算管理工作的支撑情况。</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资产</w:t>
            </w:r>
            <w:r>
              <w:rPr>
                <w:rFonts w:hint="eastAsia" w:ascii="宋体" w:hAnsi="宋体" w:eastAsia="宋体"/>
                <w:color w:val="000000"/>
                <w:sz w:val="18"/>
                <w:szCs w:val="18"/>
              </w:rPr>
              <w:br w:type="textWrapping"/>
            </w:r>
            <w:r>
              <w:rPr>
                <w:rFonts w:hint="eastAsia" w:ascii="宋体" w:hAnsi="宋体" w:eastAsia="宋体"/>
                <w:color w:val="000000"/>
                <w:sz w:val="18"/>
                <w:szCs w:val="18"/>
              </w:rPr>
              <w:t>管理</w:t>
            </w:r>
          </w:p>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（5分）</w:t>
            </w: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管理制度健全性</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nil"/>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资产管理安全性</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2</w:t>
            </w:r>
          </w:p>
        </w:tc>
        <w:tc>
          <w:tcPr>
            <w:tcW w:w="198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部门的资产是否保存完整、使用合规、配置合理、处置规范、收入及时足额上缴，用以反映和考核部门资产安全运行情况。</w:t>
            </w:r>
          </w:p>
        </w:tc>
        <w:tc>
          <w:tcPr>
            <w:tcW w:w="388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nil"/>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固定资产利用率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w:t>
            </w:r>
          </w:p>
        </w:tc>
        <w:tc>
          <w:tcPr>
            <w:tcW w:w="198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部门实际在用固定资产总额与所有固定资产总额的比率，用以反映和考核部门固定资产使用效率程度。</w:t>
            </w:r>
          </w:p>
        </w:tc>
        <w:tc>
          <w:tcPr>
            <w:tcW w:w="388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1141"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产  出（30分）</w:t>
            </w:r>
          </w:p>
        </w:tc>
        <w:tc>
          <w:tcPr>
            <w:tcW w:w="113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职责</w:t>
            </w:r>
            <w:r>
              <w:rPr>
                <w:rFonts w:hint="eastAsia" w:ascii="宋体" w:hAnsi="宋体" w:eastAsia="宋体"/>
                <w:color w:val="000000"/>
                <w:sz w:val="18"/>
                <w:szCs w:val="18"/>
              </w:rPr>
              <w:br w:type="textWrapping"/>
            </w:r>
            <w:r>
              <w:rPr>
                <w:rFonts w:hint="eastAsia" w:ascii="宋体" w:hAnsi="宋体" w:eastAsia="宋体"/>
                <w:color w:val="000000"/>
                <w:sz w:val="18"/>
                <w:szCs w:val="18"/>
              </w:rPr>
              <w:t>履行</w:t>
            </w: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实际</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完成率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（8分）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8</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部门履行职责而实际完成工作数与计划工作数的比率，用以反映和考核部门履职工作任务目标的实现程度。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完成</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及时率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3</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部门在规定时限内及时完成的实际工作数与计划工作数的比率,用以反映和考核部门履职时效目标的实现程度。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质量</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达标率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（8分）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8</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达到质量标准（绩效标准值）的实际工作数与计划工作数的比率,用以反映和考核部门履职质量目标的实现程度。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114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1134" w:type="dxa"/>
            <w:vMerge w:val="continue"/>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olor w:val="000000"/>
                <w:sz w:val="18"/>
                <w:szCs w:val="18"/>
              </w:rPr>
            </w:pPr>
          </w:p>
        </w:tc>
        <w:tc>
          <w:tcPr>
            <w:tcW w:w="99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重点工作办结率</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（10分）</w:t>
            </w:r>
          </w:p>
        </w:tc>
        <w:tc>
          <w:tcPr>
            <w:tcW w:w="850" w:type="dxa"/>
            <w:tcBorders>
              <w:top w:val="single" w:color="auto" w:sz="4" w:space="0"/>
              <w:left w:val="nil"/>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10</w:t>
            </w:r>
          </w:p>
        </w:tc>
        <w:tc>
          <w:tcPr>
            <w:tcW w:w="1985"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部门年度重点工作实际完成数与交办或下达数的比率，用以反映部门对重点工作的办理落实程度。</w:t>
            </w:r>
          </w:p>
        </w:tc>
        <w:tc>
          <w:tcPr>
            <w:tcW w:w="3889"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1141"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效  果（20分）</w:t>
            </w:r>
          </w:p>
        </w:tc>
        <w:tc>
          <w:tcPr>
            <w:tcW w:w="113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履职</w:t>
            </w:r>
            <w:r>
              <w:rPr>
                <w:rFonts w:hint="eastAsia" w:ascii="宋体" w:hAnsi="宋体" w:eastAsia="宋体"/>
                <w:color w:val="000000"/>
                <w:sz w:val="18"/>
                <w:szCs w:val="18"/>
              </w:rPr>
              <w:br w:type="textWrapping"/>
            </w:r>
            <w:r>
              <w:rPr>
                <w:rFonts w:hint="eastAsia" w:ascii="宋体" w:hAnsi="宋体" w:eastAsia="宋体"/>
                <w:color w:val="000000"/>
                <w:sz w:val="18"/>
                <w:szCs w:val="18"/>
              </w:rPr>
              <w:t>效益</w:t>
            </w:r>
          </w:p>
          <w:p>
            <w:pPr>
              <w:spacing w:line="300" w:lineRule="exact"/>
              <w:jc w:val="center"/>
              <w:rPr>
                <w:rFonts w:ascii="宋体" w:hAnsi="宋体" w:eastAsia="宋体"/>
                <w:color w:val="000000"/>
                <w:sz w:val="18"/>
                <w:szCs w:val="18"/>
              </w:rPr>
            </w:pPr>
            <w:r>
              <w:rPr>
                <w:rFonts w:hint="eastAsia" w:ascii="宋体" w:hAnsi="宋体" w:eastAsia="宋体"/>
                <w:color w:val="000000"/>
                <w:sz w:val="18"/>
                <w:szCs w:val="18"/>
              </w:rPr>
              <w:t>（20分）</w:t>
            </w:r>
          </w:p>
        </w:tc>
        <w:tc>
          <w:tcPr>
            <w:tcW w:w="99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经济效益</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（5分）</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w:t>
            </w:r>
          </w:p>
        </w:tc>
        <w:tc>
          <w:tcPr>
            <w:tcW w:w="1985"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部门履行职责对经济发展所带来的直接或间接影响。</w:t>
            </w:r>
          </w:p>
        </w:tc>
        <w:tc>
          <w:tcPr>
            <w:tcW w:w="3889"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jc w:val="left"/>
              <w:rPr>
                <w:rFonts w:ascii="宋体" w:hAnsi="宋体" w:eastAsia="宋体"/>
                <w:color w:val="00000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60"/>
              <w:jc w:val="left"/>
              <w:rPr>
                <w:rFonts w:ascii="宋体" w:hAnsi="宋体" w:eastAsia="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社会效益</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（5分）</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w:t>
            </w:r>
          </w:p>
        </w:tc>
        <w:tc>
          <w:tcPr>
            <w:tcW w:w="1985"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部门履行职责对社会发展所带来的直接或间接影响。</w:t>
            </w:r>
          </w:p>
        </w:tc>
        <w:tc>
          <w:tcPr>
            <w:tcW w:w="3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60"/>
              <w:jc w:val="left"/>
              <w:rPr>
                <w:rFonts w:ascii="宋体" w:hAnsi="宋体" w:eastAsia="宋体"/>
                <w:color w:val="000000"/>
                <w:sz w:val="18"/>
                <w:szCs w:val="18"/>
              </w:rPr>
            </w:pPr>
          </w:p>
        </w:tc>
      </w:tr>
      <w:tr>
        <w:tblPrEx>
          <w:tblCellMar>
            <w:top w:w="0" w:type="dxa"/>
            <w:left w:w="0" w:type="dxa"/>
            <w:bottom w:w="0" w:type="dxa"/>
            <w:right w:w="0" w:type="dxa"/>
          </w:tblCellMar>
        </w:tblPrEx>
        <w:trPr>
          <w:trHeight w:val="827" w:hRule="atLeast"/>
          <w:jc w:val="center"/>
        </w:trPr>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jc w:val="left"/>
              <w:rPr>
                <w:rFonts w:ascii="宋体" w:hAnsi="宋体" w:eastAsia="宋体"/>
                <w:color w:val="00000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60"/>
              <w:jc w:val="left"/>
              <w:rPr>
                <w:rFonts w:ascii="宋体" w:hAnsi="宋体" w:eastAsia="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生态效益</w:t>
            </w:r>
          </w:p>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（5分）</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w:t>
            </w:r>
          </w:p>
        </w:tc>
        <w:tc>
          <w:tcPr>
            <w:tcW w:w="1985"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部门履行职责对生态环境所带来的直接或间接影响。</w:t>
            </w:r>
          </w:p>
        </w:tc>
        <w:tc>
          <w:tcPr>
            <w:tcW w:w="3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60"/>
              <w:jc w:val="left"/>
              <w:rPr>
                <w:rFonts w:ascii="宋体" w:hAnsi="宋体" w:eastAsia="宋体"/>
                <w:color w:val="000000"/>
                <w:sz w:val="18"/>
                <w:szCs w:val="18"/>
              </w:rPr>
            </w:pPr>
          </w:p>
        </w:tc>
      </w:tr>
      <w:tr>
        <w:tblPrEx>
          <w:tblCellMar>
            <w:top w:w="0" w:type="dxa"/>
            <w:left w:w="0" w:type="dxa"/>
            <w:bottom w:w="0" w:type="dxa"/>
            <w:right w:w="0" w:type="dxa"/>
          </w:tblCellMar>
        </w:tblPrEx>
        <w:trPr>
          <w:trHeight w:val="1296" w:hRule="atLeast"/>
          <w:jc w:val="center"/>
        </w:trPr>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jc w:val="left"/>
              <w:rPr>
                <w:rFonts w:ascii="宋体" w:hAnsi="宋体" w:eastAsia="宋体"/>
                <w:color w:val="00000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60"/>
              <w:jc w:val="left"/>
              <w:rPr>
                <w:rFonts w:ascii="宋体" w:hAnsi="宋体" w:eastAsia="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社会公众或服务对象满意度（5分）</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4</w:t>
            </w:r>
          </w:p>
        </w:tc>
        <w:tc>
          <w:tcPr>
            <w:tcW w:w="1985"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sz w:val="18"/>
                <w:szCs w:val="18"/>
              </w:rPr>
              <w:t>社会公众或部门的服务对象对部门履职效果的满意程度。</w:t>
            </w:r>
          </w:p>
        </w:tc>
        <w:tc>
          <w:tcPr>
            <w:tcW w:w="3889"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r>
              <w:rPr>
                <w:rFonts w:hint="eastAsia" w:ascii="宋体" w:hAnsi="宋体" w:eastAsia="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784"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eastAsia="宋体"/>
                <w:color w:val="000000"/>
                <w:sz w:val="18"/>
                <w:szCs w:val="18"/>
              </w:rPr>
            </w:pPr>
            <w:r>
              <w:rPr>
                <w:rFonts w:hint="eastAsia" w:ascii="宋体" w:hAnsi="宋体" w:eastAsia="宋体"/>
                <w:color w:val="000000"/>
                <w:sz w:val="18"/>
                <w:szCs w:val="18"/>
              </w:rPr>
              <w:t>总分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60"/>
              <w:jc w:val="left"/>
              <w:rPr>
                <w:rFonts w:ascii="宋体" w:hAnsi="宋体" w:eastAsia="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00" w:lineRule="exact"/>
              <w:ind w:firstLine="360"/>
              <w:jc w:val="center"/>
              <w:rPr>
                <w:rFonts w:ascii="宋体" w:hAnsi="宋体" w:eastAsia="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宋体" w:hAnsi="宋体" w:eastAsia="宋体"/>
                <w:color w:val="000000"/>
                <w:sz w:val="18"/>
                <w:szCs w:val="18"/>
              </w:rPr>
            </w:pPr>
            <w:r>
              <w:rPr>
                <w:rFonts w:hint="eastAsia" w:ascii="宋体" w:hAnsi="宋体" w:eastAsia="宋体"/>
                <w:color w:val="000000"/>
                <w:sz w:val="18"/>
                <w:szCs w:val="18"/>
              </w:rPr>
              <w:t>90</w:t>
            </w:r>
          </w:p>
        </w:tc>
        <w:tc>
          <w:tcPr>
            <w:tcW w:w="1985"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sz w:val="18"/>
                <w:szCs w:val="18"/>
              </w:rPr>
            </w:pPr>
          </w:p>
        </w:tc>
        <w:tc>
          <w:tcPr>
            <w:tcW w:w="3889"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00" w:lineRule="exact"/>
              <w:ind w:left="42" w:leftChars="20" w:firstLine="360"/>
              <w:rPr>
                <w:rFonts w:ascii="宋体" w:hAnsi="宋体" w:eastAsia="宋体"/>
                <w:color w:val="000000"/>
                <w:kern w:val="0"/>
                <w:sz w:val="18"/>
                <w:szCs w:val="18"/>
              </w:rPr>
            </w:pPr>
          </w:p>
        </w:tc>
      </w:tr>
    </w:tbl>
    <w:p>
      <w:pPr>
        <w:shd w:val="clear" w:color="auto" w:fill="FFFFFF"/>
        <w:spacing w:line="20" w:lineRule="exact"/>
        <w:rPr>
          <w:rFonts w:ascii="仿宋_GB2312" w:eastAsia="仿宋_GB2312"/>
          <w:color w:val="000000"/>
        </w:rPr>
      </w:pPr>
    </w:p>
    <w:p>
      <w:bookmarkStart w:id="0" w:name="_GoBack"/>
      <w:bookmarkEnd w:id="0"/>
    </w:p>
    <w:sectPr>
      <w:pgSz w:w="11906" w:h="16838"/>
      <w:pgMar w:top="1701" w:right="1474" w:bottom="158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jQ0Yjk0NDRjYWU1OTMyOGU5YThiNzU2ODc2NGMifQ=="/>
  </w:docVars>
  <w:rsids>
    <w:rsidRoot w:val="00000000"/>
    <w:rsid w:val="775A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30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2022-08-23T08:41:30Z</dcterms:created>
  <dc:creator>Administrator</dc:creator>
  <cp:lastModifiedBy>亦湛蓝</cp:lastModifiedBy>
  <dcterms:modified xsi:type="dcterms:W3CDTF">2022-08-23T08:41:40Z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8271AE72FE4F480C8E023CC3A3702909</vt:lpwstr>
  </property>
</Properties>
</file>