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560"/>
        <w:rPr>
          <w:rFonts w:ascii="黑体" w:hAnsi="黑体" w:eastAsia="黑体"/>
          <w:color w:val="000000"/>
          <w:sz w:val="28"/>
          <w:szCs w:val="28"/>
        </w:rPr>
      </w:pPr>
      <w:r>
        <w:rPr>
          <w:rFonts w:hint="eastAsia" w:ascii="黑体" w:hAnsi="黑体" w:eastAsia="黑体"/>
          <w:color w:val="000000"/>
          <w:sz w:val="28"/>
          <w:szCs w:val="28"/>
        </w:rPr>
        <w:t>附件1</w:t>
      </w:r>
    </w:p>
    <w:p>
      <w:pPr>
        <w:ind w:firstLine="720"/>
        <w:jc w:val="center"/>
        <w:rPr>
          <w:rFonts w:hint="eastAsia" w:ascii="黑体" w:hAnsi="黑体" w:eastAsia="黑体"/>
          <w:color w:val="000000"/>
          <w:sz w:val="36"/>
          <w:szCs w:val="36"/>
        </w:rPr>
      </w:pPr>
      <w:r>
        <w:rPr>
          <w:rFonts w:hint="eastAsia" w:ascii="黑体" w:hAnsi="黑体" w:eastAsia="黑体"/>
          <w:color w:val="000000"/>
          <w:sz w:val="36"/>
          <w:szCs w:val="36"/>
        </w:rPr>
        <w:t>2020年部门整体支出绩效自评指标计分表</w:t>
      </w:r>
    </w:p>
    <w:p>
      <w:pPr>
        <w:spacing w:line="300" w:lineRule="exact"/>
        <w:ind w:firstLine="640"/>
        <w:rPr>
          <w:rFonts w:hint="eastAsia" w:ascii="黑体" w:hAnsi="黑体" w:eastAsia="黑体"/>
          <w:color w:val="000000"/>
        </w:rPr>
      </w:pPr>
      <w:r>
        <w:rPr>
          <w:rFonts w:hint="eastAsia" w:ascii="黑体" w:hAnsi="黑体" w:eastAsia="黑体"/>
          <w:color w:val="000000"/>
        </w:rPr>
        <w:t xml:space="preserve"> </w:t>
      </w:r>
    </w:p>
    <w:tbl>
      <w:tblPr>
        <w:tblStyle w:val="4"/>
        <w:tblW w:w="9992" w:type="dxa"/>
        <w:jc w:val="center"/>
        <w:tblLayout w:type="fixed"/>
        <w:tblCellMar>
          <w:top w:w="0" w:type="dxa"/>
          <w:left w:w="0" w:type="dxa"/>
          <w:bottom w:w="0" w:type="dxa"/>
          <w:right w:w="0" w:type="dxa"/>
        </w:tblCellMar>
      </w:tblPr>
      <w:tblGrid>
        <w:gridCol w:w="893"/>
        <w:gridCol w:w="719"/>
        <w:gridCol w:w="848"/>
        <w:gridCol w:w="491"/>
        <w:gridCol w:w="2669"/>
        <w:gridCol w:w="4372"/>
      </w:tblGrid>
      <w:tr>
        <w:tblPrEx>
          <w:tblCellMar>
            <w:top w:w="0" w:type="dxa"/>
            <w:left w:w="0" w:type="dxa"/>
            <w:bottom w:w="0" w:type="dxa"/>
            <w:right w:w="0" w:type="dxa"/>
          </w:tblCellMar>
        </w:tblPrEx>
        <w:trPr>
          <w:trHeight w:val="853" w:hRule="atLeast"/>
          <w:jc w:val="center"/>
        </w:trPr>
        <w:tc>
          <w:tcPr>
            <w:tcW w:w="893"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黑体" w:hAnsi="黑体" w:eastAsia="黑体"/>
                <w:color w:val="000000"/>
                <w:lang w:eastAsia="zh-CN"/>
              </w:rPr>
            </w:pPr>
            <w:r>
              <w:rPr>
                <w:rFonts w:hint="eastAsia" w:ascii="黑体" w:hAnsi="黑体" w:eastAsia="黑体"/>
                <w:color w:val="000000"/>
                <w:lang w:val="en-US" w:eastAsia="zh-CN"/>
              </w:rPr>
              <w:t>一</w:t>
            </w:r>
            <w:r>
              <w:rPr>
                <w:rFonts w:hint="eastAsia" w:ascii="黑体" w:hAnsi="黑体" w:eastAsia="黑体"/>
                <w:color w:val="000000"/>
              </w:rPr>
              <w:t>级</w:t>
            </w:r>
          </w:p>
          <w:p>
            <w:pPr>
              <w:spacing w:line="240" w:lineRule="exact"/>
              <w:jc w:val="center"/>
              <w:rPr>
                <w:rFonts w:hint="eastAsia" w:ascii="黑体" w:hAnsi="黑体" w:eastAsia="黑体"/>
                <w:color w:val="000000"/>
              </w:rPr>
            </w:pPr>
            <w:r>
              <w:rPr>
                <w:rFonts w:hint="eastAsia" w:ascii="黑体" w:hAnsi="黑体" w:eastAsia="黑体"/>
                <w:color w:val="000000"/>
              </w:rPr>
              <w:t>指标</w:t>
            </w:r>
          </w:p>
        </w:tc>
        <w:tc>
          <w:tcPr>
            <w:tcW w:w="719"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黑体" w:hAnsi="黑体" w:eastAsia="黑体"/>
                <w:color w:val="000000"/>
              </w:rPr>
            </w:pPr>
            <w:r>
              <w:rPr>
                <w:rFonts w:hint="eastAsia" w:ascii="黑体" w:hAnsi="黑体" w:eastAsia="黑体"/>
                <w:color w:val="000000"/>
              </w:rPr>
              <w:t>二级</w:t>
            </w:r>
          </w:p>
          <w:p>
            <w:pPr>
              <w:spacing w:line="240" w:lineRule="exact"/>
              <w:jc w:val="center"/>
              <w:rPr>
                <w:rFonts w:hint="eastAsia" w:ascii="黑体" w:hAnsi="黑体" w:eastAsia="黑体"/>
                <w:color w:val="000000"/>
              </w:rPr>
            </w:pPr>
            <w:r>
              <w:rPr>
                <w:rFonts w:hint="eastAsia" w:ascii="黑体" w:hAnsi="黑体" w:eastAsia="黑体"/>
                <w:color w:val="000000"/>
              </w:rPr>
              <w:t>指标</w:t>
            </w: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黑体" w:hAnsi="黑体" w:eastAsia="黑体"/>
                <w:color w:val="000000"/>
              </w:rPr>
            </w:pPr>
            <w:r>
              <w:rPr>
                <w:rFonts w:hint="eastAsia" w:ascii="黑体" w:hAnsi="黑体" w:eastAsia="黑体"/>
                <w:color w:val="000000"/>
              </w:rPr>
              <w:t>三级</w:t>
            </w:r>
          </w:p>
          <w:p>
            <w:pPr>
              <w:spacing w:line="240" w:lineRule="exact"/>
              <w:jc w:val="center"/>
              <w:rPr>
                <w:rFonts w:hint="eastAsia" w:ascii="黑体" w:hAnsi="黑体" w:eastAsia="黑体"/>
                <w:color w:val="000000"/>
              </w:rPr>
            </w:pPr>
            <w:r>
              <w:rPr>
                <w:rFonts w:hint="eastAsia" w:ascii="黑体" w:hAnsi="黑体" w:eastAsia="黑体"/>
                <w:color w:val="000000"/>
              </w:rPr>
              <w:t>指标</w:t>
            </w:r>
          </w:p>
        </w:tc>
        <w:tc>
          <w:tcPr>
            <w:tcW w:w="491" w:type="dxa"/>
            <w:tcBorders>
              <w:top w:val="single" w:color="auto" w:sz="4" w:space="0"/>
              <w:left w:val="nil"/>
              <w:bottom w:val="single" w:color="auto" w:sz="4" w:space="0"/>
              <w:right w:val="single" w:color="auto" w:sz="4" w:space="0"/>
            </w:tcBorders>
            <w:vAlign w:val="center"/>
          </w:tcPr>
          <w:p>
            <w:pPr>
              <w:spacing w:line="240" w:lineRule="exact"/>
              <w:ind w:firstLine="640"/>
              <w:jc w:val="center"/>
              <w:rPr>
                <w:rFonts w:hint="eastAsia" w:ascii="黑体" w:hAnsi="黑体" w:eastAsia="黑体"/>
                <w:color w:val="000000"/>
              </w:rPr>
            </w:pPr>
            <w:r>
              <w:rPr>
                <w:rFonts w:hint="eastAsia" w:ascii="黑体" w:hAnsi="黑体" w:eastAsia="黑体"/>
                <w:color w:val="000000"/>
              </w:rPr>
              <w:t>自</w:t>
            </w:r>
            <w:r>
              <w:rPr>
                <w:rFonts w:hint="eastAsia" w:ascii="黑体" w:hAnsi="黑体" w:eastAsia="黑体"/>
                <w:color w:val="000000"/>
                <w:lang w:val="en-US" w:eastAsia="zh-CN"/>
              </w:rPr>
              <w:t>自</w:t>
            </w:r>
            <w:r>
              <w:rPr>
                <w:rFonts w:hint="eastAsia" w:ascii="黑体" w:hAnsi="黑体" w:eastAsia="黑体"/>
                <w:color w:val="000000"/>
              </w:rPr>
              <w:t>评分</w:t>
            </w:r>
          </w:p>
        </w:tc>
        <w:tc>
          <w:tcPr>
            <w:tcW w:w="2669"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640"/>
              <w:jc w:val="center"/>
              <w:rPr>
                <w:rFonts w:hint="eastAsia" w:ascii="黑体" w:hAnsi="黑体" w:eastAsia="黑体"/>
                <w:color w:val="000000"/>
              </w:rPr>
            </w:pPr>
            <w:r>
              <w:rPr>
                <w:rFonts w:hint="eastAsia" w:ascii="黑体" w:hAnsi="黑体" w:eastAsia="黑体"/>
                <w:color w:val="000000"/>
              </w:rPr>
              <w:t>指标解释</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640"/>
              <w:jc w:val="center"/>
              <w:rPr>
                <w:rFonts w:hint="eastAsia" w:ascii="黑体" w:hAnsi="黑体" w:eastAsia="黑体"/>
                <w:color w:val="000000"/>
              </w:rPr>
            </w:pPr>
            <w:r>
              <w:rPr>
                <w:rFonts w:hint="eastAsia" w:ascii="黑体" w:hAnsi="黑体" w:eastAsia="黑体"/>
                <w:color w:val="000000"/>
              </w:rPr>
              <w:t>指标说明</w:t>
            </w:r>
          </w:p>
        </w:tc>
      </w:tr>
      <w:tr>
        <w:tblPrEx>
          <w:tblCellMar>
            <w:top w:w="0" w:type="dxa"/>
            <w:left w:w="0" w:type="dxa"/>
            <w:bottom w:w="0" w:type="dxa"/>
            <w:right w:w="0" w:type="dxa"/>
          </w:tblCellMar>
        </w:tblPrEx>
        <w:trPr>
          <w:trHeight w:val="1327" w:hRule="atLeast"/>
          <w:jc w:val="center"/>
        </w:trPr>
        <w:tc>
          <w:tcPr>
            <w:tcW w:w="893"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仿宋_GB2312" w:hAnsi="宋体"/>
                <w:color w:val="000000"/>
              </w:rPr>
            </w:pPr>
            <w:r>
              <w:rPr>
                <w:rFonts w:hint="eastAsia" w:ascii="仿宋_GB2312" w:hAnsi="宋体"/>
                <w:color w:val="000000"/>
              </w:rPr>
              <w:t>投</w:t>
            </w:r>
            <w:r>
              <w:rPr>
                <w:rFonts w:hint="eastAsia" w:ascii="仿宋_GB2312" w:hAnsi="宋体"/>
                <w:color w:val="000000"/>
                <w:lang w:val="en-US" w:eastAsia="zh-CN"/>
              </w:rPr>
              <w:t xml:space="preserve"> </w:t>
            </w:r>
            <w:r>
              <w:rPr>
                <w:rFonts w:hint="eastAsia" w:ascii="仿宋_GB2312" w:hAnsi="宋体"/>
                <w:color w:val="000000"/>
              </w:rPr>
              <w:t>入</w:t>
            </w:r>
          </w:p>
          <w:p>
            <w:pPr>
              <w:spacing w:line="240" w:lineRule="exact"/>
              <w:jc w:val="both"/>
              <w:rPr>
                <w:rFonts w:hint="eastAsia" w:ascii="仿宋_GB2312" w:hAnsi="宋体"/>
                <w:color w:val="000000"/>
              </w:rPr>
            </w:pPr>
            <w:r>
              <w:rPr>
                <w:rFonts w:hint="eastAsia" w:ascii="仿宋_GB2312" w:hAnsi="宋体"/>
                <w:color w:val="000000"/>
              </w:rPr>
              <w:t>（</w:t>
            </w:r>
            <w:r>
              <w:rPr>
                <w:rFonts w:hint="eastAsia" w:ascii="仿宋_GB2312" w:hAnsi="宋体" w:eastAsia="仿宋_GB2312"/>
                <w:color w:val="000000"/>
              </w:rPr>
              <w:t>20</w:t>
            </w:r>
            <w:r>
              <w:rPr>
                <w:rFonts w:hint="eastAsia" w:ascii="宋体" w:hAnsi="宋体"/>
                <w:color w:val="000000"/>
              </w:rPr>
              <w:t>分）</w:t>
            </w:r>
          </w:p>
        </w:tc>
        <w:tc>
          <w:tcPr>
            <w:tcW w:w="719" w:type="dxa"/>
            <w:vMerge w:val="restart"/>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宋体" w:hAnsi="宋体" w:eastAsia="宋体"/>
                <w:color w:val="000000"/>
                <w:sz w:val="18"/>
                <w:szCs w:val="18"/>
                <w:lang w:eastAsia="zh-CN"/>
              </w:rPr>
            </w:pPr>
            <w:r>
              <w:rPr>
                <w:rFonts w:hint="eastAsia" w:ascii="宋体" w:hAnsi="宋体"/>
                <w:color w:val="000000"/>
                <w:sz w:val="18"/>
                <w:szCs w:val="18"/>
              </w:rPr>
              <w:t>目标</w:t>
            </w:r>
          </w:p>
          <w:p>
            <w:pPr>
              <w:spacing w:line="240" w:lineRule="exact"/>
              <w:jc w:val="center"/>
              <w:rPr>
                <w:rFonts w:hint="eastAsia" w:ascii="宋体" w:hAnsi="宋体"/>
                <w:color w:val="000000"/>
                <w:sz w:val="18"/>
                <w:szCs w:val="18"/>
              </w:rPr>
            </w:pPr>
            <w:r>
              <w:rPr>
                <w:rFonts w:hint="eastAsia" w:ascii="宋体" w:hAnsi="宋体"/>
                <w:color w:val="000000"/>
                <w:sz w:val="18"/>
                <w:szCs w:val="18"/>
              </w:rPr>
              <w:t>设定</w:t>
            </w:r>
          </w:p>
          <w:p>
            <w:pPr>
              <w:spacing w:line="240" w:lineRule="exact"/>
              <w:jc w:val="both"/>
              <w:rPr>
                <w:rFonts w:hint="eastAsia" w:ascii="宋体" w:hAnsi="宋体"/>
                <w:color w:val="000000"/>
                <w:sz w:val="18"/>
                <w:szCs w:val="18"/>
              </w:rPr>
            </w:pPr>
            <w:r>
              <w:rPr>
                <w:rFonts w:hint="eastAsia" w:ascii="宋体" w:hAnsi="宋体"/>
                <w:color w:val="000000"/>
                <w:sz w:val="18"/>
                <w:szCs w:val="18"/>
              </w:rPr>
              <w:t>（5分）</w:t>
            </w: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绩效目标合理性</w:t>
            </w:r>
          </w:p>
          <w:p>
            <w:pPr>
              <w:spacing w:line="240" w:lineRule="exact"/>
              <w:jc w:val="center"/>
              <w:rPr>
                <w:rFonts w:hint="eastAsia" w:ascii="宋体" w:hAnsi="宋体"/>
                <w:color w:val="000000"/>
                <w:sz w:val="18"/>
                <w:szCs w:val="18"/>
              </w:rPr>
            </w:pPr>
            <w:r>
              <w:rPr>
                <w:rFonts w:hint="eastAsia" w:ascii="宋体" w:hAnsi="宋体"/>
                <w:color w:val="000000"/>
                <w:sz w:val="18"/>
                <w:szCs w:val="18"/>
              </w:rPr>
              <w:t>（2分）</w:t>
            </w:r>
          </w:p>
        </w:tc>
        <w:tc>
          <w:tcPr>
            <w:tcW w:w="491" w:type="dxa"/>
            <w:tcBorders>
              <w:top w:val="single" w:color="auto" w:sz="4" w:space="0"/>
              <w:left w:val="nil"/>
              <w:bottom w:val="single" w:color="auto" w:sz="4" w:space="0"/>
              <w:right w:val="single" w:color="auto" w:sz="4" w:space="0"/>
            </w:tcBorders>
            <w:vAlign w:val="center"/>
          </w:tcPr>
          <w:p>
            <w:pPr>
              <w:spacing w:line="240" w:lineRule="exact"/>
              <w:jc w:val="both"/>
              <w:rPr>
                <w:rFonts w:hint="eastAsia" w:ascii="宋体" w:hAnsi="宋体"/>
                <w:color w:val="000000"/>
                <w:sz w:val="18"/>
                <w:szCs w:val="18"/>
                <w:lang w:val="en-US" w:eastAsia="zh-CN"/>
              </w:rPr>
            </w:pPr>
          </w:p>
          <w:p>
            <w:pPr>
              <w:bidi w:val="0"/>
              <w:jc w:val="center"/>
              <w:rPr>
                <w:rFonts w:hint="default" w:ascii="Times New Roman" w:hAnsi="Times New Roman" w:eastAsia="宋体" w:cs="Times New Roman"/>
                <w:kern w:val="2"/>
                <w:sz w:val="18"/>
                <w:szCs w:val="18"/>
                <w:lang w:val="en-US" w:eastAsia="zh-CN" w:bidi="ar-SA"/>
              </w:rPr>
            </w:pPr>
            <w:r>
              <w:rPr>
                <w:rFonts w:hint="eastAsia" w:cs="Times New Roman"/>
                <w:kern w:val="2"/>
                <w:sz w:val="18"/>
                <w:szCs w:val="18"/>
                <w:lang w:val="en-US" w:eastAsia="zh-CN" w:bidi="ar-SA"/>
              </w:rPr>
              <w:t>2</w:t>
            </w:r>
          </w:p>
        </w:tc>
        <w:tc>
          <w:tcPr>
            <w:tcW w:w="2669"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部门所设立的整体绩效目标依据是否充分，是否符合客观实际，用以反映和考核部门整体绩效目标与部门履职、年度工作任务的相符性情况。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①符合国家法律法规、国民经济和社会发展总体规划计1分；②符合部门“三定”方案确定的职责计0.5分；③是否符合部门制定的中长期实施规划计0.5分。</w:t>
            </w:r>
          </w:p>
        </w:tc>
      </w:tr>
      <w:tr>
        <w:tblPrEx>
          <w:tblCellMar>
            <w:top w:w="0" w:type="dxa"/>
            <w:left w:w="0" w:type="dxa"/>
            <w:bottom w:w="0" w:type="dxa"/>
            <w:right w:w="0" w:type="dxa"/>
          </w:tblCellMar>
        </w:tblPrEx>
        <w:trPr>
          <w:trHeight w:val="1169" w:hRule="atLeast"/>
          <w:jc w:val="center"/>
        </w:trPr>
        <w:tc>
          <w:tcPr>
            <w:tcW w:w="893" w:type="dxa"/>
            <w:vMerge w:val="continue"/>
            <w:tcBorders>
              <w:top w:val="nil"/>
              <w:left w:val="single" w:color="auto" w:sz="4" w:space="0"/>
              <w:bottom w:val="single" w:color="auto" w:sz="4" w:space="0"/>
              <w:right w:val="single" w:color="auto" w:sz="4" w:space="0"/>
            </w:tcBorders>
            <w:vAlign w:val="center"/>
          </w:tcPr>
          <w:p>
            <w:pPr>
              <w:widowControl/>
              <w:ind w:firstLine="420"/>
              <w:jc w:val="center"/>
              <w:rPr>
                <w:rFonts w:ascii="仿宋_GB2312" w:hAnsi="宋体"/>
                <w:color w:val="000000"/>
              </w:rPr>
            </w:pPr>
          </w:p>
        </w:tc>
        <w:tc>
          <w:tcPr>
            <w:tcW w:w="719" w:type="dxa"/>
            <w:vMerge w:val="continue"/>
            <w:tcBorders>
              <w:top w:val="nil"/>
              <w:left w:val="nil"/>
              <w:bottom w:val="single" w:color="auto" w:sz="4" w:space="0"/>
              <w:right w:val="single" w:color="auto" w:sz="4" w:space="0"/>
            </w:tcBorders>
            <w:vAlign w:val="center"/>
          </w:tcPr>
          <w:p>
            <w:pPr>
              <w:widowControl/>
              <w:ind w:firstLine="360"/>
              <w:jc w:val="center"/>
              <w:rPr>
                <w:rFonts w:ascii="宋体"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绩效指标明确性</w:t>
            </w:r>
          </w:p>
          <w:p>
            <w:pPr>
              <w:spacing w:line="240" w:lineRule="exact"/>
              <w:jc w:val="center"/>
              <w:rPr>
                <w:rFonts w:hint="eastAsia" w:ascii="宋体" w:hAnsi="宋体"/>
                <w:color w:val="000000"/>
                <w:sz w:val="18"/>
                <w:szCs w:val="18"/>
              </w:rPr>
            </w:pPr>
            <w:r>
              <w:rPr>
                <w:rFonts w:hint="eastAsia" w:ascii="宋体" w:hAnsi="宋体"/>
                <w:color w:val="000000"/>
                <w:sz w:val="18"/>
                <w:szCs w:val="18"/>
              </w:rPr>
              <w:t>（3分）</w:t>
            </w:r>
          </w:p>
        </w:tc>
        <w:tc>
          <w:tcPr>
            <w:tcW w:w="491" w:type="dxa"/>
            <w:tcBorders>
              <w:top w:val="single" w:color="auto" w:sz="4" w:space="0"/>
              <w:left w:val="nil"/>
              <w:bottom w:val="single" w:color="auto" w:sz="4" w:space="0"/>
              <w:right w:val="single" w:color="auto" w:sz="4" w:space="0"/>
            </w:tcBorders>
            <w:vAlign w:val="center"/>
          </w:tcPr>
          <w:p>
            <w:pPr>
              <w:spacing w:line="240" w:lineRule="exact"/>
              <w:jc w:val="center"/>
              <w:rPr>
                <w:rFonts w:hint="eastAsia" w:ascii="宋体" w:hAnsi="宋体" w:eastAsia="宋体"/>
                <w:color w:val="000000"/>
                <w:sz w:val="18"/>
                <w:szCs w:val="18"/>
                <w:lang w:val="en-US" w:eastAsia="zh-CN"/>
              </w:rPr>
            </w:pPr>
            <w:r>
              <w:rPr>
                <w:rFonts w:hint="eastAsia" w:cs="Times New Roman"/>
                <w:kern w:val="2"/>
                <w:sz w:val="18"/>
                <w:szCs w:val="18"/>
                <w:lang w:val="en-US" w:eastAsia="zh-CN" w:bidi="ar-SA"/>
              </w:rPr>
              <w:t>2</w:t>
            </w:r>
          </w:p>
        </w:tc>
        <w:tc>
          <w:tcPr>
            <w:tcW w:w="2669"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部门依据整体绩效目标所设定的绩效指标是否清晰、细化、可衡量，用以反映和考核部门整体绩效目标的明细化情况。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①将部门整体的绩效目标细化分解为具体的工作任务计1分；②通过清晰、可衡量的指标值予以体现计0.5分。③与部门年度的任务数或计划数相对应计0.5分；④与本年度部门预算资金相匹配计1分。</w:t>
            </w:r>
          </w:p>
        </w:tc>
      </w:tr>
      <w:tr>
        <w:tblPrEx>
          <w:tblCellMar>
            <w:top w:w="0" w:type="dxa"/>
            <w:left w:w="0" w:type="dxa"/>
            <w:bottom w:w="0" w:type="dxa"/>
            <w:right w:w="0" w:type="dxa"/>
          </w:tblCellMar>
        </w:tblPrEx>
        <w:trPr>
          <w:trHeight w:val="1221" w:hRule="atLeast"/>
          <w:jc w:val="center"/>
        </w:trPr>
        <w:tc>
          <w:tcPr>
            <w:tcW w:w="893" w:type="dxa"/>
            <w:vMerge w:val="continue"/>
            <w:tcBorders>
              <w:top w:val="nil"/>
              <w:left w:val="single" w:color="auto" w:sz="4" w:space="0"/>
              <w:bottom w:val="single" w:color="auto" w:sz="4" w:space="0"/>
              <w:right w:val="single" w:color="auto" w:sz="4" w:space="0"/>
            </w:tcBorders>
            <w:vAlign w:val="center"/>
          </w:tcPr>
          <w:p>
            <w:pPr>
              <w:widowControl/>
              <w:ind w:firstLine="420"/>
              <w:jc w:val="center"/>
              <w:rPr>
                <w:rFonts w:ascii="仿宋_GB2312" w:hAnsi="宋体"/>
                <w:color w:val="000000"/>
              </w:rPr>
            </w:pPr>
          </w:p>
        </w:tc>
        <w:tc>
          <w:tcPr>
            <w:tcW w:w="719" w:type="dxa"/>
            <w:vMerge w:val="restart"/>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宋体" w:hAnsi="宋体" w:eastAsia="宋体"/>
                <w:color w:val="000000"/>
                <w:sz w:val="18"/>
                <w:szCs w:val="18"/>
                <w:lang w:eastAsia="zh-CN"/>
              </w:rPr>
            </w:pPr>
            <w:r>
              <w:rPr>
                <w:rFonts w:hint="eastAsia" w:ascii="宋体" w:hAnsi="宋体"/>
                <w:color w:val="000000"/>
                <w:sz w:val="18"/>
                <w:szCs w:val="18"/>
              </w:rPr>
              <w:t>预算</w:t>
            </w:r>
          </w:p>
          <w:p>
            <w:pPr>
              <w:spacing w:line="240" w:lineRule="exact"/>
              <w:jc w:val="center"/>
              <w:rPr>
                <w:rFonts w:hint="eastAsia" w:ascii="宋体" w:hAnsi="宋体"/>
                <w:color w:val="000000"/>
                <w:sz w:val="18"/>
                <w:szCs w:val="18"/>
              </w:rPr>
            </w:pPr>
            <w:r>
              <w:rPr>
                <w:rFonts w:hint="eastAsia" w:ascii="宋体" w:hAnsi="宋体"/>
                <w:color w:val="000000"/>
                <w:sz w:val="18"/>
                <w:szCs w:val="18"/>
              </w:rPr>
              <w:t>配置</w:t>
            </w:r>
          </w:p>
          <w:p>
            <w:pPr>
              <w:spacing w:line="240" w:lineRule="exact"/>
              <w:ind w:left="-199" w:leftChars="-95" w:firstLine="199" w:firstLineChars="111"/>
              <w:jc w:val="both"/>
              <w:rPr>
                <w:rFonts w:hint="eastAsia" w:ascii="宋体" w:hAnsi="宋体"/>
                <w:color w:val="000000"/>
                <w:sz w:val="18"/>
                <w:szCs w:val="18"/>
              </w:rPr>
            </w:pPr>
            <w:r>
              <w:rPr>
                <w:rFonts w:hint="eastAsia" w:ascii="宋体" w:hAnsi="宋体"/>
                <w:color w:val="000000"/>
                <w:sz w:val="18"/>
                <w:szCs w:val="18"/>
              </w:rPr>
              <w:t>（15分）</w:t>
            </w: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在职人员控制率</w:t>
            </w:r>
          </w:p>
          <w:p>
            <w:pPr>
              <w:spacing w:line="240" w:lineRule="exact"/>
              <w:jc w:val="center"/>
              <w:rPr>
                <w:rFonts w:hint="eastAsia" w:ascii="宋体" w:hAnsi="宋体"/>
                <w:color w:val="000000"/>
                <w:sz w:val="18"/>
                <w:szCs w:val="18"/>
              </w:rPr>
            </w:pPr>
            <w:r>
              <w:rPr>
                <w:rFonts w:hint="eastAsia" w:ascii="宋体" w:hAnsi="宋体"/>
                <w:color w:val="000000"/>
                <w:sz w:val="18"/>
                <w:szCs w:val="18"/>
              </w:rPr>
              <w:t>（5分）</w:t>
            </w:r>
          </w:p>
        </w:tc>
        <w:tc>
          <w:tcPr>
            <w:tcW w:w="491"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宋体" w:hAnsi="宋体"/>
                <w:color w:val="000000"/>
                <w:sz w:val="18"/>
                <w:szCs w:val="18"/>
                <w:lang w:val="en-US"/>
              </w:rPr>
            </w:pPr>
            <w:r>
              <w:rPr>
                <w:rFonts w:hint="eastAsia" w:cs="Times New Roman"/>
                <w:kern w:val="2"/>
                <w:sz w:val="18"/>
                <w:szCs w:val="18"/>
                <w:lang w:val="en-US" w:eastAsia="zh-CN" w:bidi="ar-SA"/>
              </w:rPr>
              <w:t>3</w:t>
            </w:r>
          </w:p>
        </w:tc>
        <w:tc>
          <w:tcPr>
            <w:tcW w:w="2669"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部门本年度实际在职人员数与编制数的比率，用以反映和考核部门对人员成本的控制程度。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在职人员控制率=（在职人员数/编制数）×100%小于或等于1计5分，否则按比例计分。在职人员数：部门实际在职人数，以财政部确定的部门决算编制口径为准。编制数：机构编制部门核定批复的部门的人员编制数。</w:t>
            </w:r>
          </w:p>
        </w:tc>
      </w:tr>
      <w:tr>
        <w:tblPrEx>
          <w:tblCellMar>
            <w:top w:w="0" w:type="dxa"/>
            <w:left w:w="0" w:type="dxa"/>
            <w:bottom w:w="0" w:type="dxa"/>
            <w:right w:w="0" w:type="dxa"/>
          </w:tblCellMar>
        </w:tblPrEx>
        <w:trPr>
          <w:trHeight w:val="1357" w:hRule="atLeast"/>
          <w:jc w:val="center"/>
        </w:trPr>
        <w:tc>
          <w:tcPr>
            <w:tcW w:w="893" w:type="dxa"/>
            <w:vMerge w:val="continue"/>
            <w:tcBorders>
              <w:top w:val="nil"/>
              <w:left w:val="single" w:color="auto" w:sz="4" w:space="0"/>
              <w:bottom w:val="single" w:color="auto" w:sz="4" w:space="0"/>
              <w:right w:val="single" w:color="auto" w:sz="4" w:space="0"/>
            </w:tcBorders>
            <w:vAlign w:val="center"/>
          </w:tcPr>
          <w:p>
            <w:pPr>
              <w:widowControl/>
              <w:ind w:firstLine="420"/>
              <w:jc w:val="center"/>
              <w:rPr>
                <w:rFonts w:ascii="仿宋_GB2312" w:hAnsi="宋体"/>
                <w:color w:val="000000"/>
              </w:rPr>
            </w:pPr>
          </w:p>
        </w:tc>
        <w:tc>
          <w:tcPr>
            <w:tcW w:w="719" w:type="dxa"/>
            <w:vMerge w:val="continue"/>
            <w:tcBorders>
              <w:top w:val="nil"/>
              <w:left w:val="nil"/>
              <w:bottom w:val="single" w:color="auto" w:sz="4" w:space="0"/>
              <w:right w:val="single" w:color="auto" w:sz="4" w:space="0"/>
            </w:tcBorders>
            <w:vAlign w:val="center"/>
          </w:tcPr>
          <w:p>
            <w:pPr>
              <w:widowControl/>
              <w:ind w:firstLine="360"/>
              <w:jc w:val="center"/>
              <w:rPr>
                <w:rFonts w:ascii="宋体"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“三公经费”变动率</w:t>
            </w:r>
          </w:p>
          <w:p>
            <w:pPr>
              <w:spacing w:line="240" w:lineRule="exact"/>
              <w:jc w:val="center"/>
              <w:rPr>
                <w:rFonts w:hint="eastAsia" w:ascii="宋体" w:hAnsi="宋体"/>
                <w:color w:val="000000"/>
                <w:sz w:val="18"/>
                <w:szCs w:val="18"/>
              </w:rPr>
            </w:pPr>
            <w:r>
              <w:rPr>
                <w:rFonts w:hint="eastAsia" w:ascii="宋体" w:hAnsi="宋体"/>
                <w:color w:val="000000"/>
                <w:sz w:val="18"/>
                <w:szCs w:val="18"/>
              </w:rPr>
              <w:t>（5分）</w:t>
            </w:r>
          </w:p>
        </w:tc>
        <w:tc>
          <w:tcPr>
            <w:tcW w:w="491"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5</w:t>
            </w:r>
          </w:p>
        </w:tc>
        <w:tc>
          <w:tcPr>
            <w:tcW w:w="2669"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部门本年度“三公经费”预算数与上年度“三公经费”预算数的变动比率，用以反映和考核部门对控制重点行政成本的努力程度。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三公经费”变动率=[（本年度“三公经费”总额-上年度“三公经费”总额）/上年度“三公经费”总额]×100%。下降的计5分，增加的按比例扣减。“三公经费”：年度预算安排的因公出国（境）费、公务车辆购置及运行费和公务招待费。</w:t>
            </w:r>
          </w:p>
        </w:tc>
      </w:tr>
      <w:tr>
        <w:tblPrEx>
          <w:tblCellMar>
            <w:top w:w="0" w:type="dxa"/>
            <w:left w:w="0" w:type="dxa"/>
            <w:bottom w:w="0" w:type="dxa"/>
            <w:right w:w="0" w:type="dxa"/>
          </w:tblCellMar>
        </w:tblPrEx>
        <w:trPr>
          <w:trHeight w:val="1524" w:hRule="atLeast"/>
          <w:jc w:val="center"/>
        </w:trPr>
        <w:tc>
          <w:tcPr>
            <w:tcW w:w="893" w:type="dxa"/>
            <w:vMerge w:val="continue"/>
            <w:tcBorders>
              <w:top w:val="nil"/>
              <w:left w:val="single" w:color="auto" w:sz="4" w:space="0"/>
              <w:bottom w:val="single" w:color="auto" w:sz="4" w:space="0"/>
              <w:right w:val="single" w:color="auto" w:sz="4" w:space="0"/>
            </w:tcBorders>
            <w:vAlign w:val="center"/>
          </w:tcPr>
          <w:p>
            <w:pPr>
              <w:widowControl/>
              <w:ind w:firstLine="420"/>
              <w:jc w:val="center"/>
              <w:rPr>
                <w:rFonts w:ascii="仿宋_GB2312" w:hAnsi="宋体"/>
                <w:color w:val="000000"/>
              </w:rPr>
            </w:pPr>
          </w:p>
        </w:tc>
        <w:tc>
          <w:tcPr>
            <w:tcW w:w="719" w:type="dxa"/>
            <w:vMerge w:val="continue"/>
            <w:tcBorders>
              <w:top w:val="nil"/>
              <w:left w:val="nil"/>
              <w:bottom w:val="single" w:color="auto" w:sz="4" w:space="0"/>
              <w:right w:val="single" w:color="auto" w:sz="4" w:space="0"/>
            </w:tcBorders>
            <w:vAlign w:val="center"/>
          </w:tcPr>
          <w:p>
            <w:pPr>
              <w:widowControl/>
              <w:ind w:firstLine="360"/>
              <w:jc w:val="center"/>
              <w:rPr>
                <w:rFonts w:ascii="宋体"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重点支出安排率</w:t>
            </w:r>
          </w:p>
          <w:p>
            <w:pPr>
              <w:spacing w:line="240" w:lineRule="exact"/>
              <w:jc w:val="center"/>
              <w:rPr>
                <w:rFonts w:hint="eastAsia" w:ascii="宋体" w:hAnsi="宋体"/>
                <w:color w:val="000000"/>
                <w:sz w:val="18"/>
                <w:szCs w:val="18"/>
              </w:rPr>
            </w:pPr>
            <w:r>
              <w:rPr>
                <w:rFonts w:hint="eastAsia" w:ascii="宋体" w:hAnsi="宋体"/>
                <w:color w:val="000000"/>
                <w:sz w:val="18"/>
                <w:szCs w:val="18"/>
              </w:rPr>
              <w:t>（5分）</w:t>
            </w:r>
          </w:p>
        </w:tc>
        <w:tc>
          <w:tcPr>
            <w:tcW w:w="491" w:type="dxa"/>
            <w:tcBorders>
              <w:top w:val="single" w:color="auto" w:sz="4" w:space="0"/>
              <w:left w:val="nil"/>
              <w:bottom w:val="single" w:color="auto" w:sz="4" w:space="0"/>
              <w:right w:val="single" w:color="auto" w:sz="4" w:space="0"/>
            </w:tcBorders>
            <w:vAlign w:val="center"/>
          </w:tcPr>
          <w:p>
            <w:pPr>
              <w:spacing w:line="240" w:lineRule="exact"/>
              <w:ind w:firstLine="360"/>
              <w:jc w:val="center"/>
              <w:rPr>
                <w:rFonts w:hint="eastAsia" w:ascii="宋体" w:hAnsi="宋体"/>
                <w:color w:val="000000"/>
                <w:sz w:val="18"/>
                <w:szCs w:val="18"/>
              </w:rPr>
            </w:pPr>
          </w:p>
          <w:p>
            <w:pPr>
              <w:bidi w:val="0"/>
              <w:ind w:firstLine="240" w:firstLineChars="0"/>
              <w:jc w:val="left"/>
              <w:rPr>
                <w:rFonts w:hint="default" w:ascii="Times New Roman" w:hAnsi="Times New Roman" w:eastAsia="宋体" w:cs="Times New Roman"/>
                <w:kern w:val="2"/>
                <w:sz w:val="18"/>
                <w:szCs w:val="18"/>
                <w:lang w:val="en-US" w:eastAsia="zh-CN" w:bidi="ar-SA"/>
              </w:rPr>
            </w:pPr>
            <w:r>
              <w:rPr>
                <w:rFonts w:hint="eastAsia" w:cs="Times New Roman"/>
                <w:kern w:val="2"/>
                <w:sz w:val="18"/>
                <w:szCs w:val="18"/>
                <w:lang w:val="en-US" w:eastAsia="zh-CN" w:bidi="ar-SA"/>
              </w:rPr>
              <w:t>4</w:t>
            </w:r>
          </w:p>
        </w:tc>
        <w:tc>
          <w:tcPr>
            <w:tcW w:w="2669"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部门本年度预算安排的重点项目支出与部门项目总支出的比率，用以反映和考核部门对履行主要职责或完成重点任务的保障程度。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重点支出安排率=（重点项目支出/项目总支出）×100%。实际得分=支出安排率*5分。重点项目支出：部门年度预算安排的，与本部门履职和发展密切相关、具有明显社会和经济影响、党委政府关心或社会比较关注的项目支出总额。项目总支出：部门年度预算安排的项目支出总额。</w:t>
            </w:r>
          </w:p>
        </w:tc>
      </w:tr>
      <w:tr>
        <w:tblPrEx>
          <w:tblCellMar>
            <w:top w:w="0" w:type="dxa"/>
            <w:left w:w="0" w:type="dxa"/>
            <w:bottom w:w="0" w:type="dxa"/>
            <w:right w:w="0" w:type="dxa"/>
          </w:tblCellMar>
        </w:tblPrEx>
        <w:trPr>
          <w:trHeight w:val="1179" w:hRule="atLeast"/>
          <w:jc w:val="center"/>
        </w:trPr>
        <w:tc>
          <w:tcPr>
            <w:tcW w:w="893"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仿宋_GB2312" w:hAnsi="宋体"/>
                <w:color w:val="000000"/>
              </w:rPr>
            </w:pPr>
            <w:r>
              <w:rPr>
                <w:rFonts w:hint="eastAsia" w:ascii="仿宋_GB2312" w:hAnsi="宋体"/>
                <w:color w:val="000000"/>
              </w:rPr>
              <w:t>过</w:t>
            </w:r>
            <w:r>
              <w:rPr>
                <w:rFonts w:hint="eastAsia" w:ascii="仿宋_GB2312" w:hAnsi="宋体"/>
                <w:color w:val="000000"/>
                <w:lang w:val="en-US" w:eastAsia="zh-CN"/>
              </w:rPr>
              <w:t xml:space="preserve"> </w:t>
            </w:r>
            <w:r>
              <w:rPr>
                <w:rFonts w:hint="eastAsia" w:ascii="仿宋_GB2312" w:hAnsi="宋体"/>
                <w:color w:val="000000"/>
              </w:rPr>
              <w:t>程</w:t>
            </w:r>
          </w:p>
          <w:p>
            <w:pPr>
              <w:spacing w:line="240" w:lineRule="exact"/>
              <w:jc w:val="center"/>
              <w:rPr>
                <w:rFonts w:hint="eastAsia" w:ascii="仿宋_GB2312" w:hAnsi="宋体"/>
                <w:color w:val="000000"/>
              </w:rPr>
            </w:pPr>
            <w:r>
              <w:rPr>
                <w:rFonts w:hint="eastAsia" w:ascii="仿宋_GB2312" w:hAnsi="宋体"/>
                <w:color w:val="000000"/>
              </w:rPr>
              <w:t>（</w:t>
            </w:r>
            <w:r>
              <w:rPr>
                <w:rFonts w:hint="eastAsia" w:ascii="仿宋_GB2312" w:hAnsi="宋体" w:eastAsia="仿宋_GB2312"/>
                <w:color w:val="000000"/>
              </w:rPr>
              <w:t>30</w:t>
            </w:r>
            <w:r>
              <w:rPr>
                <w:rFonts w:hint="eastAsia" w:ascii="宋体" w:hAnsi="宋体"/>
                <w:color w:val="000000"/>
              </w:rPr>
              <w:t>分）</w:t>
            </w:r>
          </w:p>
        </w:tc>
        <w:tc>
          <w:tcPr>
            <w:tcW w:w="719" w:type="dxa"/>
            <w:vMerge w:val="restart"/>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宋体" w:hAnsi="宋体" w:eastAsia="宋体"/>
                <w:color w:val="000000"/>
                <w:sz w:val="18"/>
                <w:szCs w:val="18"/>
                <w:lang w:eastAsia="zh-CN"/>
              </w:rPr>
            </w:pPr>
            <w:r>
              <w:rPr>
                <w:rFonts w:hint="eastAsia" w:ascii="宋体" w:hAnsi="宋体"/>
                <w:color w:val="000000"/>
                <w:sz w:val="18"/>
                <w:szCs w:val="18"/>
              </w:rPr>
              <w:t>预算</w:t>
            </w:r>
          </w:p>
          <w:p>
            <w:pPr>
              <w:spacing w:line="240" w:lineRule="exact"/>
              <w:jc w:val="center"/>
              <w:rPr>
                <w:rFonts w:hint="eastAsia" w:ascii="宋体" w:hAnsi="宋体"/>
                <w:color w:val="000000"/>
                <w:sz w:val="18"/>
                <w:szCs w:val="18"/>
              </w:rPr>
            </w:pPr>
            <w:r>
              <w:rPr>
                <w:rFonts w:hint="eastAsia" w:ascii="宋体" w:hAnsi="宋体"/>
                <w:color w:val="000000"/>
                <w:sz w:val="18"/>
                <w:szCs w:val="18"/>
              </w:rPr>
              <w:t>执行</w:t>
            </w:r>
          </w:p>
          <w:p>
            <w:pPr>
              <w:spacing w:line="240" w:lineRule="exact"/>
              <w:jc w:val="both"/>
              <w:rPr>
                <w:rFonts w:hint="eastAsia" w:ascii="宋体" w:hAnsi="宋体"/>
                <w:color w:val="000000"/>
                <w:sz w:val="18"/>
                <w:szCs w:val="18"/>
              </w:rPr>
            </w:pPr>
            <w:r>
              <w:rPr>
                <w:rFonts w:hint="eastAsia" w:ascii="宋体" w:hAnsi="宋体"/>
                <w:color w:val="000000"/>
                <w:sz w:val="18"/>
                <w:szCs w:val="18"/>
              </w:rPr>
              <w:t>（20分）</w:t>
            </w: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预算</w:t>
            </w:r>
          </w:p>
          <w:p>
            <w:pPr>
              <w:spacing w:line="240" w:lineRule="exact"/>
              <w:jc w:val="center"/>
              <w:rPr>
                <w:rFonts w:hint="eastAsia" w:ascii="宋体" w:hAnsi="宋体"/>
                <w:color w:val="000000"/>
                <w:sz w:val="18"/>
                <w:szCs w:val="18"/>
              </w:rPr>
            </w:pPr>
            <w:r>
              <w:rPr>
                <w:rFonts w:hint="eastAsia" w:ascii="宋体" w:hAnsi="宋体"/>
                <w:color w:val="000000"/>
                <w:sz w:val="18"/>
                <w:szCs w:val="18"/>
              </w:rPr>
              <w:t>完成率</w:t>
            </w:r>
          </w:p>
          <w:p>
            <w:pPr>
              <w:spacing w:line="240" w:lineRule="exact"/>
              <w:jc w:val="center"/>
              <w:rPr>
                <w:rFonts w:hint="eastAsia" w:ascii="宋体" w:hAnsi="宋体"/>
                <w:color w:val="000000"/>
                <w:sz w:val="18"/>
                <w:szCs w:val="18"/>
              </w:rPr>
            </w:pPr>
            <w:r>
              <w:rPr>
                <w:rFonts w:hint="eastAsia" w:ascii="宋体" w:hAnsi="宋体"/>
                <w:color w:val="000000"/>
                <w:sz w:val="18"/>
                <w:szCs w:val="18"/>
              </w:rPr>
              <w:t>（4分）</w:t>
            </w:r>
          </w:p>
        </w:tc>
        <w:tc>
          <w:tcPr>
            <w:tcW w:w="491"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4</w:t>
            </w:r>
          </w:p>
        </w:tc>
        <w:tc>
          <w:tcPr>
            <w:tcW w:w="2669"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部门本年度预算完成数与预算数的比率，用以反映和考核部门预算完成程度。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预算完成率=（预算完成数/预算数）×100%。完成年初预算计4分，未完成年初预算按比例扣减，预算完成数：部门本年度实际完成的预算数。预算数：财政部门批复的本年度部门预算数。</w:t>
            </w:r>
          </w:p>
        </w:tc>
      </w:tr>
      <w:tr>
        <w:tblPrEx>
          <w:tblCellMar>
            <w:top w:w="0" w:type="dxa"/>
            <w:left w:w="0" w:type="dxa"/>
            <w:bottom w:w="0" w:type="dxa"/>
            <w:right w:w="0" w:type="dxa"/>
          </w:tblCellMar>
        </w:tblPrEx>
        <w:trPr>
          <w:trHeight w:val="1457" w:hRule="atLeast"/>
          <w:jc w:val="center"/>
        </w:trPr>
        <w:tc>
          <w:tcPr>
            <w:tcW w:w="893"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19" w:type="dxa"/>
            <w:vMerge w:val="continue"/>
            <w:tcBorders>
              <w:top w:val="nil"/>
              <w:left w:val="nil"/>
              <w:bottom w:val="single" w:color="auto" w:sz="4" w:space="0"/>
              <w:right w:val="single" w:color="auto" w:sz="4" w:space="0"/>
            </w:tcBorders>
            <w:vAlign w:val="center"/>
          </w:tcPr>
          <w:p>
            <w:pPr>
              <w:widowControl/>
              <w:ind w:firstLine="360"/>
              <w:jc w:val="left"/>
              <w:rPr>
                <w:rFonts w:ascii="宋体" w:hAnsi="宋体"/>
                <w:color w:val="000000"/>
                <w:sz w:val="18"/>
                <w:szCs w:val="18"/>
              </w:rPr>
            </w:pP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预算</w:t>
            </w:r>
          </w:p>
          <w:p>
            <w:pPr>
              <w:spacing w:line="240" w:lineRule="exact"/>
              <w:jc w:val="center"/>
              <w:rPr>
                <w:rFonts w:hint="eastAsia" w:ascii="宋体" w:hAnsi="宋体"/>
                <w:color w:val="000000"/>
                <w:sz w:val="18"/>
                <w:szCs w:val="18"/>
              </w:rPr>
            </w:pPr>
            <w:r>
              <w:rPr>
                <w:rFonts w:hint="eastAsia" w:ascii="宋体" w:hAnsi="宋体"/>
                <w:color w:val="000000"/>
                <w:sz w:val="18"/>
                <w:szCs w:val="18"/>
              </w:rPr>
              <w:t>调整率</w:t>
            </w:r>
          </w:p>
          <w:p>
            <w:pPr>
              <w:spacing w:line="240" w:lineRule="exact"/>
              <w:jc w:val="center"/>
              <w:rPr>
                <w:rFonts w:hint="eastAsia" w:ascii="宋体" w:hAnsi="宋体"/>
                <w:color w:val="000000"/>
                <w:sz w:val="18"/>
                <w:szCs w:val="18"/>
              </w:rPr>
            </w:pPr>
            <w:r>
              <w:rPr>
                <w:rFonts w:hint="eastAsia" w:ascii="宋体" w:hAnsi="宋体"/>
                <w:color w:val="000000"/>
                <w:sz w:val="18"/>
                <w:szCs w:val="18"/>
              </w:rPr>
              <w:t>（2分）</w:t>
            </w:r>
          </w:p>
        </w:tc>
        <w:tc>
          <w:tcPr>
            <w:tcW w:w="491" w:type="dxa"/>
            <w:tcBorders>
              <w:top w:val="single" w:color="auto" w:sz="4" w:space="0"/>
              <w:left w:val="nil"/>
              <w:bottom w:val="single" w:color="auto" w:sz="4" w:space="0"/>
              <w:right w:val="single" w:color="auto" w:sz="4" w:space="0"/>
            </w:tcBorders>
            <w:vAlign w:val="center"/>
          </w:tcPr>
          <w:p>
            <w:pPr>
              <w:spacing w:line="240" w:lineRule="exact"/>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2</w:t>
            </w:r>
          </w:p>
        </w:tc>
        <w:tc>
          <w:tcPr>
            <w:tcW w:w="2669"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部门本年度预算调整数与预算数的比率，用以反映和考核部门预算的调整程度。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预算调整率=（预算调整数/预算数）×100%。未调整的计2分，调整了的除特殊原因外按比例扣减。预算调整数：部门在本年度内涉及预算的追加、追减或结构调整的资金总和（因落实国家政策、发生不可抗力、上级部门或同级党委政府临时交办而产生的调整除外）。</w:t>
            </w:r>
          </w:p>
        </w:tc>
      </w:tr>
      <w:tr>
        <w:tblPrEx>
          <w:tblCellMar>
            <w:top w:w="0" w:type="dxa"/>
            <w:left w:w="0" w:type="dxa"/>
            <w:bottom w:w="0" w:type="dxa"/>
            <w:right w:w="0" w:type="dxa"/>
          </w:tblCellMar>
        </w:tblPrEx>
        <w:trPr>
          <w:trHeight w:val="1918" w:hRule="atLeast"/>
          <w:jc w:val="center"/>
        </w:trPr>
        <w:tc>
          <w:tcPr>
            <w:tcW w:w="893"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19" w:type="dxa"/>
            <w:vMerge w:val="continue"/>
            <w:tcBorders>
              <w:top w:val="nil"/>
              <w:left w:val="nil"/>
              <w:bottom w:val="single" w:color="auto" w:sz="4" w:space="0"/>
              <w:right w:val="single" w:color="auto" w:sz="4" w:space="0"/>
            </w:tcBorders>
            <w:vAlign w:val="center"/>
          </w:tcPr>
          <w:p>
            <w:pPr>
              <w:widowControl/>
              <w:ind w:firstLine="360"/>
              <w:jc w:val="left"/>
              <w:rPr>
                <w:rFonts w:ascii="宋体" w:hAnsi="宋体"/>
                <w:color w:val="000000"/>
                <w:sz w:val="18"/>
                <w:szCs w:val="18"/>
              </w:rPr>
            </w:pP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支付</w:t>
            </w:r>
          </w:p>
          <w:p>
            <w:pPr>
              <w:spacing w:line="240" w:lineRule="exact"/>
              <w:jc w:val="center"/>
              <w:rPr>
                <w:rFonts w:hint="eastAsia" w:ascii="宋体" w:hAnsi="宋体"/>
                <w:color w:val="000000"/>
                <w:sz w:val="18"/>
                <w:szCs w:val="18"/>
              </w:rPr>
            </w:pPr>
            <w:r>
              <w:rPr>
                <w:rFonts w:hint="eastAsia" w:ascii="宋体" w:hAnsi="宋体"/>
                <w:color w:val="000000"/>
                <w:sz w:val="18"/>
                <w:szCs w:val="18"/>
              </w:rPr>
              <w:t>进度率</w:t>
            </w:r>
          </w:p>
          <w:p>
            <w:pPr>
              <w:spacing w:line="240" w:lineRule="exact"/>
              <w:jc w:val="center"/>
              <w:rPr>
                <w:rFonts w:hint="eastAsia" w:ascii="宋体" w:hAnsi="宋体"/>
                <w:color w:val="000000"/>
                <w:sz w:val="18"/>
                <w:szCs w:val="18"/>
              </w:rPr>
            </w:pPr>
            <w:r>
              <w:rPr>
                <w:rFonts w:hint="eastAsia" w:ascii="宋体" w:hAnsi="宋体"/>
                <w:color w:val="000000"/>
                <w:sz w:val="18"/>
                <w:szCs w:val="18"/>
              </w:rPr>
              <w:t>（2分）</w:t>
            </w:r>
          </w:p>
        </w:tc>
        <w:tc>
          <w:tcPr>
            <w:tcW w:w="491" w:type="dxa"/>
            <w:tcBorders>
              <w:top w:val="single" w:color="auto" w:sz="4" w:space="0"/>
              <w:left w:val="nil"/>
              <w:bottom w:val="single" w:color="auto" w:sz="4" w:space="0"/>
              <w:right w:val="single" w:color="auto" w:sz="4" w:space="0"/>
            </w:tcBorders>
            <w:vAlign w:val="center"/>
          </w:tcPr>
          <w:p>
            <w:pPr>
              <w:spacing w:line="240" w:lineRule="exact"/>
              <w:ind w:firstLine="360"/>
              <w:jc w:val="center"/>
              <w:rPr>
                <w:rFonts w:hint="eastAsia" w:ascii="宋体" w:hAnsi="宋体"/>
                <w:color w:val="000000"/>
                <w:sz w:val="18"/>
                <w:szCs w:val="18"/>
              </w:rPr>
            </w:pPr>
          </w:p>
          <w:p>
            <w:pPr>
              <w:bidi w:val="0"/>
              <w:jc w:val="center"/>
              <w:rPr>
                <w:rFonts w:hint="default" w:ascii="Times New Roman" w:hAnsi="Times New Roman" w:eastAsia="宋体" w:cs="Times New Roman"/>
                <w:kern w:val="2"/>
                <w:sz w:val="18"/>
                <w:szCs w:val="18"/>
                <w:lang w:val="en-US" w:eastAsia="zh-CN" w:bidi="ar-SA"/>
              </w:rPr>
            </w:pPr>
            <w:r>
              <w:rPr>
                <w:rFonts w:hint="eastAsia" w:cs="Times New Roman"/>
                <w:kern w:val="2"/>
                <w:sz w:val="18"/>
                <w:szCs w:val="18"/>
                <w:lang w:val="en-US" w:eastAsia="zh-CN" w:bidi="ar-SA"/>
              </w:rPr>
              <w:t>2</w:t>
            </w:r>
          </w:p>
        </w:tc>
        <w:tc>
          <w:tcPr>
            <w:tcW w:w="2669"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部门实际支付进度与既定支付进度的比率，用以反映和考核部门预算执行的及时性和均衡性程度。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支付进度率=（实际支付进度/既定支付进度）×100%。完成年终进度的计1分，按季度完成预算进度的计1分。实际支付进度：部门在某一时点的支出预算执行总数与年度支出预算数的比率。既定支付进度：由部门在申报部门整体绩效目标时，参照序时支付进度、前三年支付进度、同级部门平均支付进度水平等确定的，在某一时点应达到的支付进度（比率）。</w:t>
            </w:r>
          </w:p>
        </w:tc>
      </w:tr>
      <w:tr>
        <w:tblPrEx>
          <w:tblCellMar>
            <w:top w:w="0" w:type="dxa"/>
            <w:left w:w="0" w:type="dxa"/>
            <w:bottom w:w="0" w:type="dxa"/>
            <w:right w:w="0" w:type="dxa"/>
          </w:tblCellMar>
        </w:tblPrEx>
        <w:trPr>
          <w:trHeight w:val="1142" w:hRule="atLeast"/>
          <w:jc w:val="center"/>
        </w:trPr>
        <w:tc>
          <w:tcPr>
            <w:tcW w:w="893"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19" w:type="dxa"/>
            <w:vMerge w:val="continue"/>
            <w:tcBorders>
              <w:top w:val="nil"/>
              <w:left w:val="nil"/>
              <w:bottom w:val="single" w:color="auto" w:sz="4" w:space="0"/>
              <w:right w:val="single" w:color="auto" w:sz="4" w:space="0"/>
            </w:tcBorders>
            <w:vAlign w:val="center"/>
          </w:tcPr>
          <w:p>
            <w:pPr>
              <w:widowControl/>
              <w:ind w:firstLine="360"/>
              <w:jc w:val="left"/>
              <w:rPr>
                <w:rFonts w:ascii="宋体" w:hAnsi="宋体"/>
                <w:color w:val="000000"/>
                <w:sz w:val="18"/>
                <w:szCs w:val="18"/>
              </w:rPr>
            </w:pP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结转结余控制率</w:t>
            </w:r>
          </w:p>
          <w:p>
            <w:pPr>
              <w:spacing w:line="240" w:lineRule="exact"/>
              <w:jc w:val="center"/>
              <w:rPr>
                <w:rFonts w:hint="eastAsia" w:ascii="宋体" w:hAnsi="宋体"/>
                <w:color w:val="000000"/>
                <w:sz w:val="18"/>
                <w:szCs w:val="18"/>
              </w:rPr>
            </w:pPr>
            <w:r>
              <w:rPr>
                <w:rFonts w:hint="eastAsia" w:ascii="宋体" w:hAnsi="宋体"/>
                <w:color w:val="000000"/>
                <w:sz w:val="18"/>
                <w:szCs w:val="18"/>
              </w:rPr>
              <w:t>（4分）</w:t>
            </w:r>
          </w:p>
        </w:tc>
        <w:tc>
          <w:tcPr>
            <w:tcW w:w="491" w:type="dxa"/>
            <w:tcBorders>
              <w:top w:val="single" w:color="auto" w:sz="4" w:space="0"/>
              <w:left w:val="nil"/>
              <w:bottom w:val="single" w:color="auto" w:sz="4" w:space="0"/>
              <w:right w:val="single" w:color="auto" w:sz="4" w:space="0"/>
            </w:tcBorders>
            <w:vAlign w:val="center"/>
          </w:tcPr>
          <w:p>
            <w:pPr>
              <w:spacing w:line="240" w:lineRule="exact"/>
              <w:jc w:val="center"/>
              <w:rPr>
                <w:rFonts w:hint="default"/>
                <w:sz w:val="18"/>
                <w:szCs w:val="18"/>
                <w:lang w:val="en-US" w:eastAsia="zh-CN"/>
              </w:rPr>
            </w:pPr>
            <w:r>
              <w:rPr>
                <w:rFonts w:hint="eastAsia"/>
                <w:sz w:val="18"/>
                <w:szCs w:val="18"/>
                <w:lang w:val="en-US" w:eastAsia="zh-CN"/>
              </w:rPr>
              <w:t>3</w:t>
            </w:r>
          </w:p>
        </w:tc>
        <w:tc>
          <w:tcPr>
            <w:tcW w:w="2669"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部门本年度结转结余总额与上年结转结余总额增减比例，用以反映和考核部门对存量资金的实际控制程度。</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结转结余控制率=（本年结转结余总额-上年结转结余总额）/上年结转结余总额×100%。低于15%的计4分，每超过5个百分点扣1分，扣完为止。结转结余总额：部门本年度的结转资金与结余资金之和（以决算数为准）。</w:t>
            </w:r>
          </w:p>
        </w:tc>
      </w:tr>
      <w:tr>
        <w:tblPrEx>
          <w:tblCellMar>
            <w:top w:w="0" w:type="dxa"/>
            <w:left w:w="0" w:type="dxa"/>
            <w:bottom w:w="0" w:type="dxa"/>
            <w:right w:w="0" w:type="dxa"/>
          </w:tblCellMar>
        </w:tblPrEx>
        <w:trPr>
          <w:trHeight w:val="1151" w:hRule="atLeast"/>
          <w:jc w:val="center"/>
        </w:trPr>
        <w:tc>
          <w:tcPr>
            <w:tcW w:w="893"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19" w:type="dxa"/>
            <w:vMerge w:val="continue"/>
            <w:tcBorders>
              <w:top w:val="nil"/>
              <w:left w:val="nil"/>
              <w:bottom w:val="single" w:color="auto" w:sz="4" w:space="0"/>
              <w:right w:val="single" w:color="auto" w:sz="4" w:space="0"/>
            </w:tcBorders>
            <w:vAlign w:val="center"/>
          </w:tcPr>
          <w:p>
            <w:pPr>
              <w:widowControl/>
              <w:ind w:firstLine="360"/>
              <w:jc w:val="left"/>
              <w:rPr>
                <w:rFonts w:ascii="宋体" w:hAnsi="宋体"/>
                <w:color w:val="000000"/>
                <w:sz w:val="18"/>
                <w:szCs w:val="18"/>
              </w:rPr>
            </w:pP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公用经费控制率</w:t>
            </w:r>
          </w:p>
          <w:p>
            <w:pPr>
              <w:spacing w:line="240" w:lineRule="exact"/>
              <w:jc w:val="center"/>
              <w:rPr>
                <w:rFonts w:hint="eastAsia" w:ascii="宋体" w:hAnsi="宋体"/>
                <w:color w:val="000000"/>
                <w:sz w:val="18"/>
                <w:szCs w:val="18"/>
              </w:rPr>
            </w:pPr>
            <w:r>
              <w:rPr>
                <w:rFonts w:hint="eastAsia" w:ascii="宋体" w:hAnsi="宋体"/>
                <w:color w:val="000000"/>
                <w:sz w:val="18"/>
                <w:szCs w:val="18"/>
              </w:rPr>
              <w:t>（2分）</w:t>
            </w:r>
          </w:p>
        </w:tc>
        <w:tc>
          <w:tcPr>
            <w:tcW w:w="491" w:type="dxa"/>
            <w:tcBorders>
              <w:top w:val="single" w:color="auto" w:sz="4" w:space="0"/>
              <w:left w:val="nil"/>
              <w:bottom w:val="single" w:color="auto" w:sz="4" w:space="0"/>
              <w:right w:val="single" w:color="auto" w:sz="4" w:space="0"/>
            </w:tcBorders>
            <w:vAlign w:val="center"/>
          </w:tcPr>
          <w:p>
            <w:pPr>
              <w:spacing w:line="240" w:lineRule="exact"/>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1</w:t>
            </w:r>
          </w:p>
        </w:tc>
        <w:tc>
          <w:tcPr>
            <w:tcW w:w="2669"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部门本年度实际支出的公用经费总额与预算安排的公用经费总额的比率，用以反映和考核部门对机构运转成本的实际控制程度。</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公用经费控制率=（实际支出公用经费总额/预算安排公用经费总额）×100%。为100%的计2分，每超过1个百分点扣0.1分，扣完为止。</w:t>
            </w:r>
          </w:p>
        </w:tc>
      </w:tr>
      <w:tr>
        <w:tblPrEx>
          <w:tblCellMar>
            <w:top w:w="0" w:type="dxa"/>
            <w:left w:w="0" w:type="dxa"/>
            <w:bottom w:w="0" w:type="dxa"/>
            <w:right w:w="0" w:type="dxa"/>
          </w:tblCellMar>
        </w:tblPrEx>
        <w:trPr>
          <w:trHeight w:val="1064" w:hRule="atLeast"/>
          <w:jc w:val="center"/>
        </w:trPr>
        <w:tc>
          <w:tcPr>
            <w:tcW w:w="893"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19" w:type="dxa"/>
            <w:vMerge w:val="continue"/>
            <w:tcBorders>
              <w:top w:val="nil"/>
              <w:left w:val="nil"/>
              <w:bottom w:val="single" w:color="auto" w:sz="4" w:space="0"/>
              <w:right w:val="single" w:color="auto" w:sz="4" w:space="0"/>
            </w:tcBorders>
            <w:vAlign w:val="center"/>
          </w:tcPr>
          <w:p>
            <w:pPr>
              <w:widowControl/>
              <w:ind w:firstLine="360"/>
              <w:jc w:val="left"/>
              <w:rPr>
                <w:rFonts w:ascii="宋体" w:hAnsi="宋体"/>
                <w:color w:val="000000"/>
                <w:sz w:val="18"/>
                <w:szCs w:val="18"/>
              </w:rPr>
            </w:pP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“三公经费”控制率（2分）</w:t>
            </w:r>
          </w:p>
        </w:tc>
        <w:tc>
          <w:tcPr>
            <w:tcW w:w="491"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2</w:t>
            </w:r>
          </w:p>
        </w:tc>
        <w:tc>
          <w:tcPr>
            <w:tcW w:w="2669"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部门本年度“三公经费”实际支出数与预算安排数的比率，用以反映和考核部门对“三公经费”的实际控制程度。</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“三公经费”控制率=（“三公经费”实际支出数/“三公经费”预算安排数）×100%。为100%的计2分，每超过1个百分点扣0.5分，扣完为止。</w:t>
            </w:r>
          </w:p>
        </w:tc>
      </w:tr>
      <w:tr>
        <w:tblPrEx>
          <w:tblCellMar>
            <w:top w:w="0" w:type="dxa"/>
            <w:left w:w="0" w:type="dxa"/>
            <w:bottom w:w="0" w:type="dxa"/>
            <w:right w:w="0" w:type="dxa"/>
          </w:tblCellMar>
        </w:tblPrEx>
        <w:trPr>
          <w:trHeight w:val="1373" w:hRule="atLeast"/>
          <w:jc w:val="center"/>
        </w:trPr>
        <w:tc>
          <w:tcPr>
            <w:tcW w:w="893"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19" w:type="dxa"/>
            <w:vMerge w:val="continue"/>
            <w:tcBorders>
              <w:top w:val="nil"/>
              <w:left w:val="nil"/>
              <w:bottom w:val="single" w:color="auto" w:sz="4" w:space="0"/>
              <w:right w:val="single" w:color="auto" w:sz="4" w:space="0"/>
            </w:tcBorders>
            <w:vAlign w:val="center"/>
          </w:tcPr>
          <w:p>
            <w:pPr>
              <w:widowControl/>
              <w:ind w:firstLine="360"/>
              <w:jc w:val="left"/>
              <w:rPr>
                <w:rFonts w:ascii="宋体"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政府采购执行率</w:t>
            </w:r>
          </w:p>
          <w:p>
            <w:pPr>
              <w:spacing w:line="240" w:lineRule="exact"/>
              <w:jc w:val="center"/>
              <w:rPr>
                <w:rFonts w:hint="eastAsia" w:ascii="宋体" w:hAnsi="宋体"/>
                <w:color w:val="000000"/>
                <w:sz w:val="18"/>
                <w:szCs w:val="18"/>
              </w:rPr>
            </w:pPr>
            <w:r>
              <w:rPr>
                <w:rFonts w:hint="eastAsia" w:ascii="宋体" w:hAnsi="宋体"/>
                <w:color w:val="000000"/>
                <w:sz w:val="18"/>
                <w:szCs w:val="18"/>
              </w:rPr>
              <w:t>（4分）</w:t>
            </w:r>
          </w:p>
        </w:tc>
        <w:tc>
          <w:tcPr>
            <w:tcW w:w="491"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4</w:t>
            </w:r>
          </w:p>
        </w:tc>
        <w:tc>
          <w:tcPr>
            <w:tcW w:w="2669"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部门本年度实际政府采购金额与年初政府采购预算的比率，用以反映和考核部门政府采购预算执行情况。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政府采购执行率=（实际政府采购金额/政府采购预算数）×100%，为100%的计2分，每低于1个百分点扣0.5分，扣完为止；政府采购预算：采购机关根据事业发展计划和行政任务编制的、并经过规定程序批准的年度政府采购计划。</w:t>
            </w:r>
          </w:p>
        </w:tc>
      </w:tr>
      <w:tr>
        <w:tblPrEx>
          <w:tblCellMar>
            <w:top w:w="0" w:type="dxa"/>
            <w:left w:w="0" w:type="dxa"/>
            <w:bottom w:w="0" w:type="dxa"/>
            <w:right w:w="0" w:type="dxa"/>
          </w:tblCellMar>
        </w:tblPrEx>
        <w:trPr>
          <w:trHeight w:val="1342" w:hRule="atLeast"/>
          <w:jc w:val="center"/>
        </w:trPr>
        <w:tc>
          <w:tcPr>
            <w:tcW w:w="893"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19" w:type="dxa"/>
            <w:vMerge w:val="restart"/>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both"/>
              <w:rPr>
                <w:rFonts w:hint="eastAsia" w:ascii="仿宋_GB2312" w:hAnsi="宋体"/>
                <w:color w:val="000000"/>
              </w:rPr>
            </w:pPr>
            <w:r>
              <w:rPr>
                <w:rFonts w:hint="eastAsia" w:ascii="仿宋_GB2312" w:hAnsi="宋体"/>
                <w:color w:val="000000"/>
              </w:rPr>
              <w:t>预算</w:t>
            </w:r>
          </w:p>
          <w:p>
            <w:pPr>
              <w:spacing w:line="240" w:lineRule="exact"/>
              <w:jc w:val="both"/>
              <w:rPr>
                <w:rFonts w:hint="eastAsia" w:ascii="仿宋_GB2312" w:hAnsi="宋体"/>
                <w:color w:val="000000"/>
              </w:rPr>
            </w:pPr>
            <w:r>
              <w:rPr>
                <w:rFonts w:hint="eastAsia" w:ascii="仿宋_GB2312" w:hAnsi="宋体"/>
                <w:color w:val="000000"/>
              </w:rPr>
              <w:t>管理</w:t>
            </w:r>
          </w:p>
          <w:p>
            <w:pPr>
              <w:spacing w:line="240" w:lineRule="exact"/>
              <w:ind w:firstLine="640"/>
              <w:jc w:val="center"/>
              <w:rPr>
                <w:rFonts w:hint="eastAsia" w:ascii="仿宋_GB2312" w:hAnsi="宋体"/>
                <w:color w:val="000000"/>
              </w:rPr>
            </w:pPr>
            <w:r>
              <w:rPr>
                <w:rFonts w:hint="eastAsia" w:ascii="仿宋_GB2312" w:hAnsi="宋体"/>
                <w:color w:val="000000"/>
              </w:rPr>
              <w:t>（</w:t>
            </w:r>
            <w:r>
              <w:rPr>
                <w:rFonts w:hint="eastAsia" w:ascii="仿宋_GB2312" w:hAnsi="宋体" w:eastAsia="仿宋_GB2312"/>
                <w:color w:val="000000"/>
              </w:rPr>
              <w:t>5</w:t>
            </w:r>
            <w:r>
              <w:rPr>
                <w:rFonts w:hint="eastAsia" w:ascii="宋体" w:hAnsi="宋体"/>
                <w:color w:val="000000"/>
              </w:rPr>
              <w:t>分）</w:t>
            </w: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管理制度健全性</w:t>
            </w:r>
          </w:p>
          <w:p>
            <w:pPr>
              <w:spacing w:line="240" w:lineRule="exact"/>
              <w:jc w:val="center"/>
              <w:rPr>
                <w:rFonts w:hint="eastAsia" w:ascii="宋体" w:hAnsi="宋体"/>
                <w:color w:val="000000"/>
                <w:sz w:val="18"/>
                <w:szCs w:val="18"/>
              </w:rPr>
            </w:pPr>
            <w:r>
              <w:rPr>
                <w:rFonts w:hint="eastAsia" w:ascii="宋体" w:hAnsi="宋体"/>
                <w:color w:val="000000"/>
                <w:sz w:val="18"/>
                <w:szCs w:val="18"/>
              </w:rPr>
              <w:t>（2分）</w:t>
            </w:r>
          </w:p>
        </w:tc>
        <w:tc>
          <w:tcPr>
            <w:tcW w:w="491"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2</w:t>
            </w:r>
          </w:p>
        </w:tc>
        <w:tc>
          <w:tcPr>
            <w:tcW w:w="2669"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部门为加强预算管理、规范财务行为而制定的管理制度是否健全完整，用以反映和考核部门预算管理制度对完成主要职责或促进事业发展的保障情况。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已制定或具有预算资金管理办法、内部财务管理制度、会计核算制度等管理制度计1分；相关管理制度合法、合规、完整计0.5分；相关管理制度得到有效执行计0.5分。</w:t>
            </w:r>
          </w:p>
        </w:tc>
      </w:tr>
      <w:tr>
        <w:tblPrEx>
          <w:tblCellMar>
            <w:top w:w="0" w:type="dxa"/>
            <w:left w:w="0" w:type="dxa"/>
            <w:bottom w:w="0" w:type="dxa"/>
            <w:right w:w="0" w:type="dxa"/>
          </w:tblCellMar>
        </w:tblPrEx>
        <w:trPr>
          <w:trHeight w:val="1324" w:hRule="atLeast"/>
          <w:jc w:val="center"/>
        </w:trPr>
        <w:tc>
          <w:tcPr>
            <w:tcW w:w="893"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19" w:type="dxa"/>
            <w:vMerge w:val="continue"/>
            <w:tcBorders>
              <w:top w:val="nil"/>
              <w:left w:val="nil"/>
              <w:bottom w:val="single" w:color="auto" w:sz="4" w:space="0"/>
              <w:right w:val="single" w:color="auto" w:sz="4" w:space="0"/>
            </w:tcBorders>
            <w:vAlign w:val="center"/>
          </w:tcPr>
          <w:p>
            <w:pPr>
              <w:widowControl/>
              <w:ind w:firstLine="420"/>
              <w:jc w:val="left"/>
              <w:rPr>
                <w:rFonts w:ascii="仿宋_GB2312" w:hAnsi="宋体"/>
                <w:color w:val="000000"/>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资金使用合规性</w:t>
            </w:r>
          </w:p>
          <w:p>
            <w:pPr>
              <w:spacing w:line="240" w:lineRule="exact"/>
              <w:jc w:val="center"/>
              <w:rPr>
                <w:rFonts w:hint="eastAsia" w:ascii="宋体" w:hAnsi="宋体"/>
                <w:color w:val="000000"/>
                <w:sz w:val="18"/>
                <w:szCs w:val="18"/>
              </w:rPr>
            </w:pPr>
            <w:r>
              <w:rPr>
                <w:rFonts w:hint="eastAsia" w:ascii="宋体" w:hAnsi="宋体"/>
                <w:color w:val="000000"/>
                <w:sz w:val="18"/>
                <w:szCs w:val="18"/>
              </w:rPr>
              <w:t>（1分）</w:t>
            </w:r>
          </w:p>
        </w:tc>
        <w:tc>
          <w:tcPr>
            <w:tcW w:w="491" w:type="dxa"/>
            <w:tcBorders>
              <w:top w:val="single" w:color="auto" w:sz="4" w:space="0"/>
              <w:left w:val="nil"/>
              <w:bottom w:val="single" w:color="auto" w:sz="4" w:space="0"/>
              <w:right w:val="single" w:color="auto" w:sz="4" w:space="0"/>
            </w:tcBorders>
            <w:vAlign w:val="center"/>
          </w:tcPr>
          <w:p>
            <w:pPr>
              <w:spacing w:line="240" w:lineRule="exact"/>
              <w:ind w:firstLine="360"/>
              <w:jc w:val="center"/>
              <w:rPr>
                <w:rFonts w:hint="eastAsia" w:ascii="宋体" w:hAnsi="宋体"/>
                <w:color w:val="000000"/>
                <w:sz w:val="18"/>
                <w:szCs w:val="18"/>
              </w:rPr>
            </w:pPr>
          </w:p>
          <w:p>
            <w:pPr>
              <w:bidi w:val="0"/>
              <w:jc w:val="center"/>
              <w:rPr>
                <w:rFonts w:hint="default" w:ascii="Times New Roman" w:hAnsi="Times New Roman" w:eastAsia="宋体" w:cs="Times New Roman"/>
                <w:kern w:val="2"/>
                <w:sz w:val="18"/>
                <w:szCs w:val="18"/>
                <w:lang w:val="en-US" w:eastAsia="zh-CN" w:bidi="ar-SA"/>
              </w:rPr>
            </w:pPr>
            <w:r>
              <w:rPr>
                <w:rFonts w:hint="eastAsia" w:cs="Times New Roman"/>
                <w:kern w:val="2"/>
                <w:sz w:val="18"/>
                <w:szCs w:val="18"/>
                <w:lang w:val="en-US" w:eastAsia="zh-CN" w:bidi="ar-SA"/>
              </w:rPr>
              <w:t>1</w:t>
            </w:r>
          </w:p>
        </w:tc>
        <w:tc>
          <w:tcPr>
            <w:tcW w:w="2669"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部门使用预算资金是否符合相关的预算财务管理制度的规定，用以反映和考核部门预算资金的规范运行情况。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①符合国家财经法规和财务管理制度规定以及有关专项资金管理办法的规定计0.2分；②资金的拨付有完整的审批程序和手续计0.2分；③项目的重大开支经过评估论证计0.2分；④符合部门预算批复的用途计0.2分；⑤不存在截留、挤占、挪用、虚列支出等情况计0.2分。</w:t>
            </w:r>
          </w:p>
        </w:tc>
      </w:tr>
      <w:tr>
        <w:tblPrEx>
          <w:tblCellMar>
            <w:top w:w="0" w:type="dxa"/>
            <w:left w:w="0" w:type="dxa"/>
            <w:bottom w:w="0" w:type="dxa"/>
            <w:right w:w="0" w:type="dxa"/>
          </w:tblCellMar>
        </w:tblPrEx>
        <w:trPr>
          <w:trHeight w:val="567" w:hRule="atLeast"/>
          <w:jc w:val="center"/>
        </w:trPr>
        <w:tc>
          <w:tcPr>
            <w:tcW w:w="893"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19" w:type="dxa"/>
            <w:vMerge w:val="continue"/>
            <w:tcBorders>
              <w:top w:val="nil"/>
              <w:left w:val="nil"/>
              <w:bottom w:val="single" w:color="auto" w:sz="4" w:space="0"/>
              <w:right w:val="single" w:color="auto" w:sz="4" w:space="0"/>
            </w:tcBorders>
            <w:vAlign w:val="center"/>
          </w:tcPr>
          <w:p>
            <w:pPr>
              <w:widowControl/>
              <w:ind w:firstLine="420"/>
              <w:jc w:val="left"/>
              <w:rPr>
                <w:rFonts w:ascii="仿宋_GB2312" w:hAnsi="宋体"/>
                <w:color w:val="000000"/>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预决算信息公开性</w:t>
            </w:r>
          </w:p>
          <w:p>
            <w:pPr>
              <w:spacing w:line="240" w:lineRule="exact"/>
              <w:jc w:val="center"/>
              <w:rPr>
                <w:rFonts w:hint="eastAsia" w:ascii="宋体" w:hAnsi="宋体"/>
                <w:color w:val="000000"/>
                <w:sz w:val="18"/>
                <w:szCs w:val="18"/>
              </w:rPr>
            </w:pPr>
            <w:r>
              <w:rPr>
                <w:rFonts w:hint="eastAsia" w:ascii="宋体" w:hAnsi="宋体"/>
                <w:color w:val="000000"/>
                <w:sz w:val="18"/>
                <w:szCs w:val="18"/>
              </w:rPr>
              <w:t>（1分）</w:t>
            </w:r>
          </w:p>
        </w:tc>
        <w:tc>
          <w:tcPr>
            <w:tcW w:w="491"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1</w:t>
            </w:r>
          </w:p>
        </w:tc>
        <w:tc>
          <w:tcPr>
            <w:tcW w:w="2669"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部门是否按照政府信息公开有关规定公开相关预决算信息，用以反映和考核部门预决算管理的公开透明情况。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①按规定内容公开预决算信息计0.5分；②按规定时限公开预决算信息计0.5分。预决算信息是指与部门预算、执行、决算、监督、绩效等管理相关的信息。</w:t>
            </w:r>
          </w:p>
        </w:tc>
      </w:tr>
      <w:tr>
        <w:tblPrEx>
          <w:tblCellMar>
            <w:top w:w="0" w:type="dxa"/>
            <w:left w:w="0" w:type="dxa"/>
            <w:bottom w:w="0" w:type="dxa"/>
            <w:right w:w="0" w:type="dxa"/>
          </w:tblCellMar>
        </w:tblPrEx>
        <w:trPr>
          <w:trHeight w:val="940" w:hRule="atLeast"/>
          <w:jc w:val="center"/>
        </w:trPr>
        <w:tc>
          <w:tcPr>
            <w:tcW w:w="893"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19" w:type="dxa"/>
            <w:vMerge w:val="continue"/>
            <w:tcBorders>
              <w:top w:val="nil"/>
              <w:left w:val="nil"/>
              <w:bottom w:val="single" w:color="auto" w:sz="4" w:space="0"/>
              <w:right w:val="single" w:color="auto" w:sz="4" w:space="0"/>
            </w:tcBorders>
            <w:vAlign w:val="center"/>
          </w:tcPr>
          <w:p>
            <w:pPr>
              <w:widowControl/>
              <w:ind w:firstLine="420"/>
              <w:jc w:val="left"/>
              <w:rPr>
                <w:rFonts w:ascii="仿宋_GB2312" w:hAnsi="宋体"/>
                <w:color w:val="000000"/>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基础信息完善性</w:t>
            </w:r>
          </w:p>
          <w:p>
            <w:pPr>
              <w:spacing w:line="240" w:lineRule="exact"/>
              <w:jc w:val="center"/>
              <w:rPr>
                <w:rFonts w:hint="eastAsia" w:ascii="宋体" w:hAnsi="宋体"/>
                <w:color w:val="000000"/>
                <w:sz w:val="18"/>
                <w:szCs w:val="18"/>
              </w:rPr>
            </w:pPr>
            <w:r>
              <w:rPr>
                <w:rFonts w:hint="eastAsia" w:ascii="宋体" w:hAnsi="宋体"/>
                <w:color w:val="000000"/>
                <w:sz w:val="18"/>
                <w:szCs w:val="18"/>
              </w:rPr>
              <w:t>（1分）</w:t>
            </w:r>
          </w:p>
        </w:tc>
        <w:tc>
          <w:tcPr>
            <w:tcW w:w="491" w:type="dxa"/>
            <w:tcBorders>
              <w:top w:val="single" w:color="auto" w:sz="4" w:space="0"/>
              <w:left w:val="nil"/>
              <w:bottom w:val="single" w:color="auto" w:sz="4" w:space="0"/>
              <w:right w:val="single" w:color="auto" w:sz="4" w:space="0"/>
            </w:tcBorders>
            <w:vAlign w:val="center"/>
          </w:tcPr>
          <w:p>
            <w:pPr>
              <w:spacing w:line="240" w:lineRule="exact"/>
              <w:ind w:firstLine="360"/>
              <w:jc w:val="center"/>
              <w:rPr>
                <w:rFonts w:hint="eastAsia" w:ascii="宋体" w:hAnsi="宋体"/>
                <w:color w:val="000000"/>
                <w:sz w:val="18"/>
                <w:szCs w:val="18"/>
              </w:rPr>
            </w:pPr>
          </w:p>
          <w:p>
            <w:pPr>
              <w:bidi w:val="0"/>
              <w:ind w:firstLine="240" w:firstLineChars="0"/>
              <w:jc w:val="both"/>
              <w:rPr>
                <w:rFonts w:hint="default" w:ascii="Times New Roman" w:hAnsi="Times New Roman" w:eastAsia="宋体" w:cs="Times New Roman"/>
                <w:kern w:val="2"/>
                <w:sz w:val="18"/>
                <w:szCs w:val="18"/>
                <w:lang w:val="en-US" w:eastAsia="zh-CN" w:bidi="ar-SA"/>
              </w:rPr>
            </w:pPr>
            <w:r>
              <w:rPr>
                <w:rFonts w:hint="eastAsia" w:cs="Times New Roman"/>
                <w:kern w:val="2"/>
                <w:sz w:val="18"/>
                <w:szCs w:val="18"/>
                <w:lang w:val="en-US" w:eastAsia="zh-CN" w:bidi="ar-SA"/>
              </w:rPr>
              <w:t>1</w:t>
            </w:r>
          </w:p>
        </w:tc>
        <w:tc>
          <w:tcPr>
            <w:tcW w:w="2669"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部门基础信息是否完善，用以反映和考核基础信息对预算管理工作的支撑情况。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①基础数据信息和会计信息资料真实计0.4分；②基础数据信息和会计信息资料完整计0.3分；③基础数据信息和会计信息资料准确计0.3分。</w:t>
            </w:r>
          </w:p>
        </w:tc>
      </w:tr>
      <w:tr>
        <w:tblPrEx>
          <w:tblCellMar>
            <w:top w:w="0" w:type="dxa"/>
            <w:left w:w="0" w:type="dxa"/>
            <w:bottom w:w="0" w:type="dxa"/>
            <w:right w:w="0" w:type="dxa"/>
          </w:tblCellMar>
        </w:tblPrEx>
        <w:trPr>
          <w:trHeight w:val="1262" w:hRule="atLeast"/>
          <w:jc w:val="center"/>
        </w:trPr>
        <w:tc>
          <w:tcPr>
            <w:tcW w:w="893"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19" w:type="dxa"/>
            <w:vMerge w:val="restart"/>
            <w:tcBorders>
              <w:top w:val="nil"/>
              <w:left w:val="nil"/>
              <w:bottom w:val="nil"/>
              <w:right w:val="single" w:color="auto" w:sz="4" w:space="0"/>
            </w:tcBorders>
            <w:tcMar>
              <w:top w:w="10" w:type="dxa"/>
              <w:left w:w="10" w:type="dxa"/>
              <w:bottom w:w="0" w:type="dxa"/>
              <w:right w:w="10" w:type="dxa"/>
            </w:tcMar>
            <w:vAlign w:val="center"/>
          </w:tcPr>
          <w:p>
            <w:pPr>
              <w:spacing w:line="240" w:lineRule="exact"/>
              <w:jc w:val="both"/>
              <w:rPr>
                <w:rFonts w:hint="eastAsia" w:ascii="仿宋_GB2312" w:hAnsi="宋体" w:eastAsia="宋体"/>
                <w:color w:val="000000"/>
                <w:lang w:eastAsia="zh-CN"/>
              </w:rPr>
            </w:pPr>
            <w:r>
              <w:rPr>
                <w:rFonts w:hint="eastAsia" w:ascii="仿宋_GB2312" w:hAnsi="宋体"/>
                <w:color w:val="000000"/>
              </w:rPr>
              <w:t>资产</w:t>
            </w:r>
          </w:p>
          <w:p>
            <w:pPr>
              <w:spacing w:line="240" w:lineRule="exact"/>
              <w:jc w:val="both"/>
              <w:rPr>
                <w:rFonts w:hint="eastAsia" w:ascii="仿宋_GB2312" w:hAnsi="宋体"/>
                <w:color w:val="000000"/>
              </w:rPr>
            </w:pPr>
            <w:r>
              <w:rPr>
                <w:rFonts w:hint="eastAsia" w:ascii="仿宋_GB2312" w:hAnsi="宋体"/>
                <w:color w:val="000000"/>
              </w:rPr>
              <w:t>管理</w:t>
            </w:r>
          </w:p>
          <w:p>
            <w:pPr>
              <w:spacing w:line="240" w:lineRule="exact"/>
              <w:ind w:firstLine="640"/>
              <w:jc w:val="center"/>
              <w:rPr>
                <w:rFonts w:hint="eastAsia" w:ascii="仿宋_GB2312" w:hAnsi="宋体"/>
                <w:color w:val="000000"/>
              </w:rPr>
            </w:pPr>
            <w:r>
              <w:rPr>
                <w:rFonts w:hint="eastAsia" w:ascii="仿宋_GB2312" w:hAnsi="宋体"/>
                <w:color w:val="000000"/>
              </w:rPr>
              <w:t>（</w:t>
            </w:r>
            <w:r>
              <w:rPr>
                <w:rFonts w:hint="eastAsia" w:ascii="仿宋_GB2312" w:hAnsi="宋体" w:eastAsia="仿宋_GB2312"/>
                <w:color w:val="000000"/>
              </w:rPr>
              <w:t>5</w:t>
            </w:r>
            <w:r>
              <w:rPr>
                <w:rFonts w:hint="eastAsia" w:ascii="宋体" w:hAnsi="宋体"/>
                <w:color w:val="000000"/>
              </w:rPr>
              <w:t>分）</w:t>
            </w: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管理制度健全性</w:t>
            </w:r>
          </w:p>
          <w:p>
            <w:pPr>
              <w:spacing w:line="240" w:lineRule="exact"/>
              <w:jc w:val="center"/>
              <w:rPr>
                <w:rFonts w:hint="eastAsia" w:ascii="宋体" w:hAnsi="宋体"/>
                <w:color w:val="000000"/>
                <w:sz w:val="18"/>
                <w:szCs w:val="18"/>
              </w:rPr>
            </w:pPr>
            <w:r>
              <w:rPr>
                <w:rFonts w:hint="eastAsia" w:ascii="宋体" w:hAnsi="宋体"/>
                <w:color w:val="000000"/>
                <w:sz w:val="18"/>
                <w:szCs w:val="18"/>
              </w:rPr>
              <w:t>（2分）</w:t>
            </w:r>
          </w:p>
        </w:tc>
        <w:tc>
          <w:tcPr>
            <w:tcW w:w="491"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1.5</w:t>
            </w:r>
          </w:p>
        </w:tc>
        <w:tc>
          <w:tcPr>
            <w:tcW w:w="2669"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部门为加强资产管理、规范资产管理行为而制定的管理制度是否健全完整，用以反映和考核部门资产管理制度对完成主要职责或促进社会发展的保障情况。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①制定或具有资产管理制度计1分；②相关资金管理制度合法、合规、完整计0.5分；③相关资产管理制度得到有效执行计0.5分。</w:t>
            </w:r>
          </w:p>
        </w:tc>
      </w:tr>
      <w:tr>
        <w:tblPrEx>
          <w:tblCellMar>
            <w:top w:w="0" w:type="dxa"/>
            <w:left w:w="0" w:type="dxa"/>
            <w:bottom w:w="0" w:type="dxa"/>
            <w:right w:w="0" w:type="dxa"/>
          </w:tblCellMar>
        </w:tblPrEx>
        <w:trPr>
          <w:trHeight w:val="1050" w:hRule="atLeast"/>
          <w:jc w:val="center"/>
        </w:trPr>
        <w:tc>
          <w:tcPr>
            <w:tcW w:w="893"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19" w:type="dxa"/>
            <w:vMerge w:val="continue"/>
            <w:tcBorders>
              <w:top w:val="nil"/>
              <w:left w:val="nil"/>
              <w:bottom w:val="nil"/>
              <w:right w:val="single" w:color="auto" w:sz="4" w:space="0"/>
            </w:tcBorders>
            <w:vAlign w:val="center"/>
          </w:tcPr>
          <w:p>
            <w:pPr>
              <w:widowControl/>
              <w:ind w:firstLine="420"/>
              <w:jc w:val="left"/>
              <w:rPr>
                <w:rFonts w:ascii="仿宋_GB2312" w:hAnsi="宋体"/>
                <w:color w:val="000000"/>
              </w:rPr>
            </w:pP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资产管理安全性</w:t>
            </w:r>
          </w:p>
          <w:p>
            <w:pPr>
              <w:spacing w:line="240" w:lineRule="exact"/>
              <w:jc w:val="center"/>
              <w:rPr>
                <w:rFonts w:hint="eastAsia" w:ascii="宋体" w:hAnsi="宋体"/>
                <w:color w:val="000000"/>
                <w:sz w:val="18"/>
                <w:szCs w:val="18"/>
              </w:rPr>
            </w:pPr>
            <w:r>
              <w:rPr>
                <w:rFonts w:hint="eastAsia" w:ascii="宋体" w:hAnsi="宋体"/>
                <w:color w:val="000000"/>
                <w:sz w:val="18"/>
                <w:szCs w:val="18"/>
              </w:rPr>
              <w:t>（2分）</w:t>
            </w:r>
          </w:p>
        </w:tc>
        <w:tc>
          <w:tcPr>
            <w:tcW w:w="491"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2</w:t>
            </w:r>
          </w:p>
        </w:tc>
        <w:tc>
          <w:tcPr>
            <w:tcW w:w="2669"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部门的资产是否保存完整、使用合规、配置合理、处置规范、收入及时足额上缴，用以反映和考核部门资产安全运行情况。</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①资产保存完整计0.4分；②资产配置合理计0.4分；③资产处置规范计0.4分；④资产账务管理合规、帐实相符计0.4分；⑤资产有偿使用及处置收入及时足额上缴计0.4分。</w:t>
            </w:r>
          </w:p>
        </w:tc>
      </w:tr>
      <w:tr>
        <w:tblPrEx>
          <w:tblCellMar>
            <w:top w:w="0" w:type="dxa"/>
            <w:left w:w="0" w:type="dxa"/>
            <w:bottom w:w="0" w:type="dxa"/>
            <w:right w:w="0" w:type="dxa"/>
          </w:tblCellMar>
        </w:tblPrEx>
        <w:trPr>
          <w:trHeight w:val="880" w:hRule="atLeast"/>
          <w:jc w:val="center"/>
        </w:trPr>
        <w:tc>
          <w:tcPr>
            <w:tcW w:w="893"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19" w:type="dxa"/>
            <w:vMerge w:val="continue"/>
            <w:tcBorders>
              <w:top w:val="nil"/>
              <w:left w:val="nil"/>
              <w:bottom w:val="nil"/>
              <w:right w:val="single" w:color="auto" w:sz="4" w:space="0"/>
            </w:tcBorders>
            <w:vAlign w:val="center"/>
          </w:tcPr>
          <w:p>
            <w:pPr>
              <w:widowControl/>
              <w:ind w:firstLine="420"/>
              <w:jc w:val="left"/>
              <w:rPr>
                <w:rFonts w:ascii="仿宋_GB2312" w:hAnsi="宋体"/>
                <w:color w:val="000000"/>
              </w:rPr>
            </w:pP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固定资产利用率</w:t>
            </w:r>
          </w:p>
          <w:p>
            <w:pPr>
              <w:spacing w:line="240" w:lineRule="exact"/>
              <w:jc w:val="center"/>
              <w:rPr>
                <w:rFonts w:hint="eastAsia" w:ascii="宋体" w:hAnsi="宋体"/>
                <w:color w:val="000000"/>
                <w:sz w:val="18"/>
                <w:szCs w:val="18"/>
              </w:rPr>
            </w:pPr>
            <w:r>
              <w:rPr>
                <w:rFonts w:hint="eastAsia" w:ascii="宋体" w:hAnsi="宋体"/>
                <w:color w:val="000000"/>
                <w:sz w:val="18"/>
                <w:szCs w:val="18"/>
              </w:rPr>
              <w:t>（1分）</w:t>
            </w:r>
          </w:p>
        </w:tc>
        <w:tc>
          <w:tcPr>
            <w:tcW w:w="491" w:type="dxa"/>
            <w:tcBorders>
              <w:top w:val="single" w:color="auto" w:sz="4" w:space="0"/>
              <w:left w:val="nil"/>
              <w:bottom w:val="single" w:color="auto" w:sz="4" w:space="0"/>
              <w:right w:val="single" w:color="auto" w:sz="4" w:space="0"/>
            </w:tcBorders>
            <w:vAlign w:val="center"/>
          </w:tcPr>
          <w:p>
            <w:pPr>
              <w:bidi w:val="0"/>
              <w:jc w:val="center"/>
              <w:rPr>
                <w:rFonts w:hint="default" w:ascii="Times New Roman" w:hAnsi="Times New Roman" w:eastAsia="宋体" w:cs="Times New Roman"/>
                <w:kern w:val="2"/>
                <w:sz w:val="18"/>
                <w:szCs w:val="18"/>
                <w:lang w:val="en-US" w:eastAsia="zh-CN" w:bidi="ar-SA"/>
              </w:rPr>
            </w:pPr>
            <w:r>
              <w:rPr>
                <w:rFonts w:hint="eastAsia" w:cs="Times New Roman"/>
                <w:kern w:val="2"/>
                <w:sz w:val="18"/>
                <w:szCs w:val="18"/>
                <w:lang w:val="en-US" w:eastAsia="zh-CN" w:bidi="ar-SA"/>
              </w:rPr>
              <w:t>1</w:t>
            </w:r>
          </w:p>
        </w:tc>
        <w:tc>
          <w:tcPr>
            <w:tcW w:w="2669"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部门实际在用固定资产总额与所有固定资产总额的比率，用以反映和考核部门固定资产使用效率程度。</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固定资产利用率=（实际在用固定资产总额/所有固定资产总额）×100%。利用率为100%的计1分，每降1个百分点扣0.1分，扣完为止。</w:t>
            </w:r>
          </w:p>
        </w:tc>
      </w:tr>
      <w:tr>
        <w:tblPrEx>
          <w:tblCellMar>
            <w:top w:w="0" w:type="dxa"/>
            <w:left w:w="0" w:type="dxa"/>
            <w:bottom w:w="0" w:type="dxa"/>
            <w:right w:w="0" w:type="dxa"/>
          </w:tblCellMar>
        </w:tblPrEx>
        <w:trPr>
          <w:trHeight w:val="1314" w:hRule="atLeast"/>
          <w:jc w:val="center"/>
        </w:trPr>
        <w:tc>
          <w:tcPr>
            <w:tcW w:w="893"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仿宋_GB2312" w:hAnsi="宋体"/>
                <w:color w:val="000000"/>
              </w:rPr>
            </w:pPr>
            <w:r>
              <w:rPr>
                <w:rFonts w:hint="eastAsia" w:ascii="仿宋_GB2312" w:hAnsi="宋体"/>
                <w:color w:val="000000"/>
              </w:rPr>
              <w:t>产</w:t>
            </w:r>
            <w:r>
              <w:rPr>
                <w:rFonts w:hint="eastAsia" w:ascii="仿宋_GB2312" w:hAnsi="宋体"/>
                <w:color w:val="000000"/>
                <w:lang w:val="en-US" w:eastAsia="zh-CN"/>
              </w:rPr>
              <w:t xml:space="preserve"> </w:t>
            </w:r>
            <w:r>
              <w:rPr>
                <w:rFonts w:hint="eastAsia" w:ascii="仿宋_GB2312" w:hAnsi="宋体"/>
                <w:color w:val="000000"/>
              </w:rPr>
              <w:t>出</w:t>
            </w:r>
          </w:p>
          <w:p>
            <w:pPr>
              <w:spacing w:line="240" w:lineRule="exact"/>
              <w:jc w:val="both"/>
              <w:rPr>
                <w:rFonts w:hint="eastAsia" w:ascii="仿宋_GB2312" w:hAnsi="宋体"/>
                <w:color w:val="000000"/>
              </w:rPr>
            </w:pPr>
            <w:r>
              <w:rPr>
                <w:rFonts w:hint="eastAsia" w:ascii="仿宋_GB2312" w:hAnsi="宋体"/>
                <w:color w:val="000000"/>
              </w:rPr>
              <w:t>（</w:t>
            </w:r>
            <w:r>
              <w:rPr>
                <w:rFonts w:hint="eastAsia" w:ascii="仿宋_GB2312" w:hAnsi="宋体" w:eastAsia="仿宋_GB2312"/>
                <w:color w:val="000000"/>
              </w:rPr>
              <w:t>30</w:t>
            </w:r>
            <w:r>
              <w:rPr>
                <w:rFonts w:hint="eastAsia" w:ascii="宋体" w:hAnsi="宋体"/>
                <w:color w:val="000000"/>
              </w:rPr>
              <w:t>分）</w:t>
            </w:r>
          </w:p>
        </w:tc>
        <w:tc>
          <w:tcPr>
            <w:tcW w:w="719" w:type="dxa"/>
            <w:vMerge w:val="restart"/>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仿宋_GB2312" w:hAnsi="宋体" w:eastAsia="宋体"/>
                <w:color w:val="000000"/>
                <w:sz w:val="18"/>
                <w:szCs w:val="18"/>
                <w:lang w:eastAsia="zh-CN"/>
              </w:rPr>
            </w:pPr>
            <w:r>
              <w:rPr>
                <w:rFonts w:hint="eastAsia" w:ascii="仿宋_GB2312" w:hAnsi="宋体"/>
                <w:color w:val="000000"/>
                <w:sz w:val="18"/>
                <w:szCs w:val="18"/>
              </w:rPr>
              <w:t>职责</w:t>
            </w:r>
          </w:p>
          <w:p>
            <w:pPr>
              <w:spacing w:line="240" w:lineRule="exact"/>
              <w:ind w:firstLine="360"/>
              <w:jc w:val="center"/>
              <w:rPr>
                <w:rFonts w:hint="eastAsia" w:ascii="仿宋_GB2312" w:hAnsi="宋体"/>
                <w:color w:val="000000"/>
                <w:sz w:val="18"/>
                <w:szCs w:val="18"/>
              </w:rPr>
            </w:pPr>
            <w:r>
              <w:rPr>
                <w:rFonts w:hint="eastAsia" w:ascii="仿宋_GB2312" w:hAnsi="宋体"/>
                <w:color w:val="000000"/>
                <w:sz w:val="18"/>
                <w:szCs w:val="18"/>
              </w:rPr>
              <w:t>履行</w:t>
            </w: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实际</w:t>
            </w:r>
          </w:p>
          <w:p>
            <w:pPr>
              <w:spacing w:line="240" w:lineRule="exact"/>
              <w:jc w:val="center"/>
              <w:rPr>
                <w:rFonts w:hint="eastAsia" w:ascii="宋体" w:hAnsi="宋体"/>
                <w:color w:val="000000"/>
                <w:sz w:val="18"/>
                <w:szCs w:val="18"/>
              </w:rPr>
            </w:pPr>
            <w:r>
              <w:rPr>
                <w:rFonts w:hint="eastAsia" w:ascii="宋体" w:hAnsi="宋体"/>
                <w:color w:val="000000"/>
                <w:sz w:val="18"/>
                <w:szCs w:val="18"/>
              </w:rPr>
              <w:t>完成率</w:t>
            </w:r>
          </w:p>
          <w:p>
            <w:pPr>
              <w:spacing w:line="240" w:lineRule="exact"/>
              <w:jc w:val="center"/>
              <w:rPr>
                <w:rFonts w:hint="eastAsia" w:ascii="宋体" w:hAnsi="宋体"/>
                <w:color w:val="000000"/>
                <w:sz w:val="18"/>
                <w:szCs w:val="18"/>
              </w:rPr>
            </w:pPr>
            <w:r>
              <w:rPr>
                <w:rFonts w:hint="eastAsia" w:ascii="宋体" w:hAnsi="宋体"/>
                <w:color w:val="000000"/>
                <w:sz w:val="18"/>
                <w:szCs w:val="18"/>
              </w:rPr>
              <w:t>（8分）</w:t>
            </w:r>
          </w:p>
        </w:tc>
        <w:tc>
          <w:tcPr>
            <w:tcW w:w="491"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7</w:t>
            </w:r>
          </w:p>
        </w:tc>
        <w:tc>
          <w:tcPr>
            <w:tcW w:w="2669"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部门履行职责而实际完成工作数与计划工作数的比率，用以反映和考核部门履职工作任务目标的实现程度。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实际完成率得分=完成市委市政府绩效考核得分或上级主管部门考核指标得分/指标分值*8分</w:t>
            </w:r>
          </w:p>
        </w:tc>
      </w:tr>
      <w:tr>
        <w:tblPrEx>
          <w:tblCellMar>
            <w:top w:w="0" w:type="dxa"/>
            <w:left w:w="0" w:type="dxa"/>
            <w:bottom w:w="0" w:type="dxa"/>
            <w:right w:w="0" w:type="dxa"/>
          </w:tblCellMar>
        </w:tblPrEx>
        <w:trPr>
          <w:trHeight w:val="1286" w:hRule="atLeast"/>
          <w:jc w:val="center"/>
        </w:trPr>
        <w:tc>
          <w:tcPr>
            <w:tcW w:w="893"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19" w:type="dxa"/>
            <w:vMerge w:val="continue"/>
            <w:tcBorders>
              <w:top w:val="nil"/>
              <w:left w:val="nil"/>
              <w:bottom w:val="single" w:color="auto" w:sz="4" w:space="0"/>
              <w:right w:val="single" w:color="auto" w:sz="4" w:space="0"/>
            </w:tcBorders>
            <w:vAlign w:val="center"/>
          </w:tcPr>
          <w:p>
            <w:pPr>
              <w:widowControl/>
              <w:ind w:firstLine="360"/>
              <w:jc w:val="left"/>
              <w:rPr>
                <w:rFonts w:ascii="仿宋_GB2312"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完成</w:t>
            </w:r>
          </w:p>
          <w:p>
            <w:pPr>
              <w:spacing w:line="240" w:lineRule="exact"/>
              <w:jc w:val="center"/>
              <w:rPr>
                <w:rFonts w:hint="eastAsia" w:ascii="宋体" w:hAnsi="宋体"/>
                <w:color w:val="000000"/>
                <w:sz w:val="18"/>
                <w:szCs w:val="18"/>
              </w:rPr>
            </w:pPr>
            <w:r>
              <w:rPr>
                <w:rFonts w:hint="eastAsia" w:ascii="宋体" w:hAnsi="宋体"/>
                <w:color w:val="000000"/>
                <w:sz w:val="18"/>
                <w:szCs w:val="18"/>
              </w:rPr>
              <w:t>及时率</w:t>
            </w:r>
          </w:p>
          <w:p>
            <w:pPr>
              <w:spacing w:line="240" w:lineRule="exact"/>
              <w:jc w:val="center"/>
              <w:rPr>
                <w:rFonts w:hint="eastAsia" w:ascii="宋体" w:hAnsi="宋体"/>
                <w:color w:val="000000"/>
                <w:sz w:val="18"/>
                <w:szCs w:val="18"/>
              </w:rPr>
            </w:pPr>
            <w:r>
              <w:rPr>
                <w:rFonts w:hint="eastAsia" w:ascii="宋体" w:hAnsi="宋体"/>
                <w:color w:val="000000"/>
                <w:sz w:val="18"/>
                <w:szCs w:val="18"/>
              </w:rPr>
              <w:t>（4分）</w:t>
            </w:r>
          </w:p>
        </w:tc>
        <w:tc>
          <w:tcPr>
            <w:tcW w:w="491"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4</w:t>
            </w:r>
          </w:p>
        </w:tc>
        <w:tc>
          <w:tcPr>
            <w:tcW w:w="2669"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部门在规定时限内及时完成的实际工作数与计划工作数的比率,用以反映和考核部门履职时效目标的实现程度。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完成及时率=（及时完成实际工作数/计划工作数）×100%。1-4季度各得1分</w:t>
            </w:r>
          </w:p>
        </w:tc>
      </w:tr>
      <w:tr>
        <w:tblPrEx>
          <w:tblCellMar>
            <w:top w:w="0" w:type="dxa"/>
            <w:left w:w="0" w:type="dxa"/>
            <w:bottom w:w="0" w:type="dxa"/>
            <w:right w:w="0" w:type="dxa"/>
          </w:tblCellMar>
        </w:tblPrEx>
        <w:trPr>
          <w:trHeight w:val="1370" w:hRule="atLeast"/>
          <w:jc w:val="center"/>
        </w:trPr>
        <w:tc>
          <w:tcPr>
            <w:tcW w:w="893"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19" w:type="dxa"/>
            <w:vMerge w:val="continue"/>
            <w:tcBorders>
              <w:top w:val="nil"/>
              <w:left w:val="nil"/>
              <w:bottom w:val="single" w:color="auto" w:sz="4" w:space="0"/>
              <w:right w:val="single" w:color="auto" w:sz="4" w:space="0"/>
            </w:tcBorders>
            <w:vAlign w:val="center"/>
          </w:tcPr>
          <w:p>
            <w:pPr>
              <w:widowControl/>
              <w:ind w:firstLine="360"/>
              <w:jc w:val="left"/>
              <w:rPr>
                <w:rFonts w:ascii="仿宋_GB2312"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质量</w:t>
            </w:r>
          </w:p>
          <w:p>
            <w:pPr>
              <w:spacing w:line="240" w:lineRule="exact"/>
              <w:jc w:val="center"/>
              <w:rPr>
                <w:rFonts w:hint="eastAsia" w:ascii="宋体" w:hAnsi="宋体"/>
                <w:color w:val="000000"/>
                <w:sz w:val="18"/>
                <w:szCs w:val="18"/>
              </w:rPr>
            </w:pPr>
            <w:r>
              <w:rPr>
                <w:rFonts w:hint="eastAsia" w:ascii="宋体" w:hAnsi="宋体"/>
                <w:color w:val="000000"/>
                <w:sz w:val="18"/>
                <w:szCs w:val="18"/>
              </w:rPr>
              <w:t>达标率</w:t>
            </w:r>
          </w:p>
          <w:p>
            <w:pPr>
              <w:spacing w:line="240" w:lineRule="exact"/>
              <w:jc w:val="center"/>
              <w:rPr>
                <w:rFonts w:hint="eastAsia" w:ascii="宋体" w:hAnsi="宋体"/>
                <w:color w:val="000000"/>
                <w:sz w:val="18"/>
                <w:szCs w:val="18"/>
              </w:rPr>
            </w:pPr>
            <w:r>
              <w:rPr>
                <w:rFonts w:hint="eastAsia" w:ascii="宋体" w:hAnsi="宋体"/>
                <w:color w:val="000000"/>
                <w:sz w:val="18"/>
                <w:szCs w:val="18"/>
              </w:rPr>
              <w:t>（8分）</w:t>
            </w:r>
          </w:p>
        </w:tc>
        <w:tc>
          <w:tcPr>
            <w:tcW w:w="491"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7</w:t>
            </w:r>
          </w:p>
        </w:tc>
        <w:tc>
          <w:tcPr>
            <w:tcW w:w="2669"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达到质量标准（绩效标准值）的实际工作数与计划工作数的比率,用以反映和考核部门履职质量目标的实现程度。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质量达标率=（质量达标实际工作数/计划工作数）×100%。实际得分=达标率*8分</w:t>
            </w:r>
          </w:p>
        </w:tc>
      </w:tr>
      <w:tr>
        <w:tblPrEx>
          <w:tblCellMar>
            <w:top w:w="0" w:type="dxa"/>
            <w:left w:w="0" w:type="dxa"/>
            <w:bottom w:w="0" w:type="dxa"/>
            <w:right w:w="0" w:type="dxa"/>
          </w:tblCellMar>
        </w:tblPrEx>
        <w:trPr>
          <w:trHeight w:val="1197" w:hRule="atLeast"/>
          <w:jc w:val="center"/>
        </w:trPr>
        <w:tc>
          <w:tcPr>
            <w:tcW w:w="893"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19" w:type="dxa"/>
            <w:vMerge w:val="continue"/>
            <w:tcBorders>
              <w:top w:val="nil"/>
              <w:left w:val="nil"/>
              <w:bottom w:val="single" w:color="auto" w:sz="4" w:space="0"/>
              <w:right w:val="single" w:color="auto" w:sz="4" w:space="0"/>
            </w:tcBorders>
            <w:vAlign w:val="center"/>
          </w:tcPr>
          <w:p>
            <w:pPr>
              <w:widowControl/>
              <w:ind w:firstLine="360"/>
              <w:jc w:val="left"/>
              <w:rPr>
                <w:rFonts w:ascii="仿宋_GB2312"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重点工作办结率</w:t>
            </w:r>
          </w:p>
          <w:p>
            <w:pPr>
              <w:spacing w:line="240" w:lineRule="exact"/>
              <w:jc w:val="center"/>
              <w:rPr>
                <w:rFonts w:hint="eastAsia" w:ascii="宋体" w:hAnsi="宋体"/>
                <w:color w:val="000000"/>
                <w:sz w:val="18"/>
                <w:szCs w:val="18"/>
              </w:rPr>
            </w:pPr>
            <w:r>
              <w:rPr>
                <w:rFonts w:hint="eastAsia" w:ascii="宋体" w:hAnsi="宋体"/>
                <w:color w:val="000000"/>
                <w:sz w:val="18"/>
                <w:szCs w:val="18"/>
              </w:rPr>
              <w:t>（10分）</w:t>
            </w:r>
          </w:p>
        </w:tc>
        <w:tc>
          <w:tcPr>
            <w:tcW w:w="491"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8</w:t>
            </w:r>
          </w:p>
        </w:tc>
        <w:tc>
          <w:tcPr>
            <w:tcW w:w="2669"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部门年度重点工作实际完成数与交办或下达数的比率，用以反映部门对重点工作的办理落实程度。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重点工作办结率=（重点工作实际完成数/交办或下达数）×100%。实际得分=办结率*10分</w:t>
            </w:r>
          </w:p>
        </w:tc>
      </w:tr>
      <w:tr>
        <w:tblPrEx>
          <w:tblCellMar>
            <w:top w:w="0" w:type="dxa"/>
            <w:left w:w="0" w:type="dxa"/>
            <w:bottom w:w="0" w:type="dxa"/>
            <w:right w:w="0" w:type="dxa"/>
          </w:tblCellMar>
        </w:tblPrEx>
        <w:trPr>
          <w:trHeight w:val="910" w:hRule="atLeast"/>
          <w:jc w:val="center"/>
        </w:trPr>
        <w:tc>
          <w:tcPr>
            <w:tcW w:w="893"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仿宋_GB2312" w:hAnsi="宋体"/>
                <w:color w:val="000000"/>
              </w:rPr>
            </w:pPr>
            <w:r>
              <w:rPr>
                <w:rFonts w:hint="eastAsia" w:ascii="仿宋_GB2312" w:hAnsi="宋体"/>
                <w:color w:val="000000"/>
              </w:rPr>
              <w:t>效</w:t>
            </w:r>
            <w:r>
              <w:rPr>
                <w:rFonts w:hint="eastAsia" w:ascii="仿宋_GB2312" w:hAnsi="宋体"/>
                <w:color w:val="000000"/>
                <w:lang w:val="en-US" w:eastAsia="zh-CN"/>
              </w:rPr>
              <w:t xml:space="preserve"> </w:t>
            </w:r>
            <w:r>
              <w:rPr>
                <w:rFonts w:hint="eastAsia" w:ascii="仿宋_GB2312" w:hAnsi="宋体"/>
                <w:color w:val="000000"/>
              </w:rPr>
              <w:t>果</w:t>
            </w:r>
          </w:p>
          <w:p>
            <w:pPr>
              <w:spacing w:line="240" w:lineRule="exact"/>
              <w:jc w:val="both"/>
              <w:rPr>
                <w:rFonts w:hint="eastAsia" w:ascii="仿宋_GB2312" w:hAnsi="宋体"/>
                <w:color w:val="000000"/>
              </w:rPr>
            </w:pPr>
            <w:r>
              <w:rPr>
                <w:rFonts w:hint="eastAsia" w:ascii="仿宋_GB2312" w:hAnsi="宋体"/>
                <w:color w:val="000000"/>
              </w:rPr>
              <w:t>（</w:t>
            </w:r>
            <w:r>
              <w:rPr>
                <w:rFonts w:hint="eastAsia" w:ascii="仿宋_GB2312" w:hAnsi="宋体" w:eastAsia="仿宋_GB2312"/>
                <w:color w:val="000000"/>
              </w:rPr>
              <w:t>20</w:t>
            </w:r>
            <w:r>
              <w:rPr>
                <w:rFonts w:hint="eastAsia" w:ascii="宋体" w:hAnsi="宋体"/>
                <w:color w:val="000000"/>
              </w:rPr>
              <w:t>分）</w:t>
            </w:r>
          </w:p>
        </w:tc>
        <w:tc>
          <w:tcPr>
            <w:tcW w:w="719" w:type="dxa"/>
            <w:vMerge w:val="restart"/>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仿宋_GB2312" w:hAnsi="宋体" w:eastAsia="宋体"/>
                <w:color w:val="000000"/>
                <w:sz w:val="18"/>
                <w:szCs w:val="18"/>
                <w:lang w:eastAsia="zh-CN"/>
              </w:rPr>
            </w:pPr>
            <w:r>
              <w:rPr>
                <w:rFonts w:hint="eastAsia" w:ascii="仿宋_GB2312" w:hAnsi="宋体"/>
                <w:color w:val="000000"/>
                <w:sz w:val="18"/>
                <w:szCs w:val="18"/>
              </w:rPr>
              <w:t>履职</w:t>
            </w:r>
          </w:p>
          <w:p>
            <w:pPr>
              <w:spacing w:line="240" w:lineRule="exact"/>
              <w:ind w:firstLine="360"/>
              <w:jc w:val="center"/>
              <w:rPr>
                <w:rFonts w:hint="eastAsia" w:ascii="仿宋_GB2312" w:hAnsi="宋体"/>
                <w:color w:val="000000"/>
                <w:sz w:val="18"/>
                <w:szCs w:val="18"/>
              </w:rPr>
            </w:pPr>
            <w:r>
              <w:rPr>
                <w:rFonts w:hint="eastAsia" w:ascii="仿宋_GB2312" w:hAnsi="宋体"/>
                <w:color w:val="000000"/>
                <w:sz w:val="18"/>
                <w:szCs w:val="18"/>
              </w:rPr>
              <w:t>效益</w:t>
            </w:r>
          </w:p>
          <w:p>
            <w:pPr>
              <w:spacing w:line="240" w:lineRule="exact"/>
              <w:ind w:firstLine="360"/>
              <w:jc w:val="center"/>
              <w:rPr>
                <w:rFonts w:hint="eastAsia" w:ascii="仿宋_GB2312" w:hAnsi="宋体"/>
                <w:color w:val="000000"/>
                <w:sz w:val="18"/>
                <w:szCs w:val="18"/>
              </w:rPr>
            </w:pPr>
            <w:r>
              <w:rPr>
                <w:rFonts w:hint="eastAsia" w:ascii="仿宋_GB2312" w:hAnsi="宋体"/>
                <w:color w:val="000000"/>
                <w:sz w:val="18"/>
                <w:szCs w:val="18"/>
              </w:rPr>
              <w:t>（</w:t>
            </w:r>
            <w:r>
              <w:rPr>
                <w:rFonts w:hint="eastAsia" w:ascii="仿宋_GB2312" w:hAnsi="宋体" w:eastAsia="仿宋_GB2312"/>
                <w:color w:val="000000"/>
                <w:sz w:val="18"/>
                <w:szCs w:val="18"/>
              </w:rPr>
              <w:t>20</w:t>
            </w:r>
            <w:r>
              <w:rPr>
                <w:rFonts w:hint="eastAsia" w:ascii="宋体" w:hAnsi="宋体"/>
                <w:color w:val="000000"/>
                <w:sz w:val="18"/>
                <w:szCs w:val="18"/>
              </w:rPr>
              <w:t>分）</w:t>
            </w: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经济效益</w:t>
            </w:r>
          </w:p>
          <w:p>
            <w:pPr>
              <w:spacing w:line="240" w:lineRule="exact"/>
              <w:jc w:val="center"/>
              <w:rPr>
                <w:rFonts w:hint="eastAsia" w:ascii="宋体" w:hAnsi="宋体"/>
                <w:color w:val="000000"/>
                <w:sz w:val="18"/>
                <w:szCs w:val="18"/>
              </w:rPr>
            </w:pPr>
            <w:r>
              <w:rPr>
                <w:rFonts w:hint="eastAsia" w:ascii="宋体" w:hAnsi="宋体"/>
                <w:color w:val="000000"/>
                <w:sz w:val="18"/>
                <w:szCs w:val="18"/>
              </w:rPr>
              <w:t>（5分）</w:t>
            </w:r>
          </w:p>
        </w:tc>
        <w:tc>
          <w:tcPr>
            <w:tcW w:w="491"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4</w:t>
            </w:r>
          </w:p>
        </w:tc>
        <w:tc>
          <w:tcPr>
            <w:tcW w:w="2669"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部门履行职责对经济发展所带来的直接或间接影响。</w:t>
            </w:r>
          </w:p>
        </w:tc>
        <w:tc>
          <w:tcPr>
            <w:tcW w:w="4372" w:type="dxa"/>
            <w:vMerge w:val="restart"/>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kern w:val="0"/>
                <w:sz w:val="18"/>
                <w:szCs w:val="18"/>
              </w:rPr>
              <w:t>按经济效益实现程度计算得分（5分）；按社会效益实现程度计算得分（5分）；按生态效益实现程度计算得分（5分）</w:t>
            </w:r>
          </w:p>
        </w:tc>
      </w:tr>
      <w:tr>
        <w:tblPrEx>
          <w:tblCellMar>
            <w:top w:w="0" w:type="dxa"/>
            <w:left w:w="0" w:type="dxa"/>
            <w:bottom w:w="0" w:type="dxa"/>
            <w:right w:w="0" w:type="dxa"/>
          </w:tblCellMar>
        </w:tblPrEx>
        <w:trPr>
          <w:trHeight w:val="810" w:hRule="atLeast"/>
          <w:jc w:val="center"/>
        </w:trPr>
        <w:tc>
          <w:tcPr>
            <w:tcW w:w="893"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19" w:type="dxa"/>
            <w:vMerge w:val="continue"/>
            <w:tcBorders>
              <w:top w:val="nil"/>
              <w:left w:val="nil"/>
              <w:bottom w:val="single" w:color="auto" w:sz="4" w:space="0"/>
              <w:right w:val="single" w:color="auto" w:sz="4" w:space="0"/>
            </w:tcBorders>
            <w:vAlign w:val="center"/>
          </w:tcPr>
          <w:p>
            <w:pPr>
              <w:widowControl/>
              <w:ind w:firstLine="360"/>
              <w:jc w:val="left"/>
              <w:rPr>
                <w:rFonts w:ascii="仿宋_GB2312"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社会效益</w:t>
            </w:r>
          </w:p>
          <w:p>
            <w:pPr>
              <w:spacing w:line="240" w:lineRule="exact"/>
              <w:jc w:val="center"/>
              <w:rPr>
                <w:rFonts w:hint="eastAsia" w:ascii="宋体" w:hAnsi="宋体"/>
                <w:color w:val="000000"/>
                <w:sz w:val="18"/>
                <w:szCs w:val="18"/>
              </w:rPr>
            </w:pPr>
            <w:r>
              <w:rPr>
                <w:rFonts w:hint="eastAsia" w:ascii="宋体" w:hAnsi="宋体"/>
                <w:color w:val="000000"/>
                <w:sz w:val="18"/>
                <w:szCs w:val="18"/>
              </w:rPr>
              <w:t>（5分）</w:t>
            </w:r>
          </w:p>
        </w:tc>
        <w:tc>
          <w:tcPr>
            <w:tcW w:w="491"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4</w:t>
            </w:r>
          </w:p>
        </w:tc>
        <w:tc>
          <w:tcPr>
            <w:tcW w:w="2669"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部门履行职责对社会发展所带来的直接或间接影响。</w:t>
            </w:r>
          </w:p>
        </w:tc>
        <w:tc>
          <w:tcPr>
            <w:tcW w:w="4372" w:type="dxa"/>
            <w:vMerge w:val="continue"/>
            <w:tcBorders>
              <w:top w:val="nil"/>
              <w:left w:val="nil"/>
              <w:bottom w:val="single" w:color="auto" w:sz="4" w:space="0"/>
              <w:right w:val="single" w:color="auto" w:sz="4" w:space="0"/>
            </w:tcBorders>
            <w:vAlign w:val="center"/>
          </w:tcPr>
          <w:p>
            <w:pPr>
              <w:widowControl/>
              <w:ind w:firstLine="360"/>
              <w:jc w:val="left"/>
              <w:rPr>
                <w:rFonts w:ascii="宋体" w:hAnsi="宋体"/>
                <w:color w:val="000000"/>
                <w:sz w:val="18"/>
                <w:szCs w:val="18"/>
              </w:rPr>
            </w:pPr>
          </w:p>
        </w:tc>
      </w:tr>
      <w:tr>
        <w:tblPrEx>
          <w:tblCellMar>
            <w:top w:w="0" w:type="dxa"/>
            <w:left w:w="0" w:type="dxa"/>
            <w:bottom w:w="0" w:type="dxa"/>
            <w:right w:w="0" w:type="dxa"/>
          </w:tblCellMar>
        </w:tblPrEx>
        <w:trPr>
          <w:trHeight w:val="827" w:hRule="atLeast"/>
          <w:jc w:val="center"/>
        </w:trPr>
        <w:tc>
          <w:tcPr>
            <w:tcW w:w="893"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19" w:type="dxa"/>
            <w:vMerge w:val="continue"/>
            <w:tcBorders>
              <w:top w:val="nil"/>
              <w:left w:val="nil"/>
              <w:bottom w:val="single" w:color="auto" w:sz="4" w:space="0"/>
              <w:right w:val="single" w:color="auto" w:sz="4" w:space="0"/>
            </w:tcBorders>
            <w:vAlign w:val="center"/>
          </w:tcPr>
          <w:p>
            <w:pPr>
              <w:widowControl/>
              <w:ind w:firstLine="360"/>
              <w:jc w:val="left"/>
              <w:rPr>
                <w:rFonts w:ascii="仿宋_GB2312"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生态效益</w:t>
            </w:r>
          </w:p>
          <w:p>
            <w:pPr>
              <w:spacing w:line="240" w:lineRule="exact"/>
              <w:jc w:val="center"/>
              <w:rPr>
                <w:rFonts w:hint="eastAsia" w:ascii="宋体" w:hAnsi="宋体"/>
                <w:color w:val="000000"/>
                <w:sz w:val="18"/>
                <w:szCs w:val="18"/>
              </w:rPr>
            </w:pPr>
            <w:r>
              <w:rPr>
                <w:rFonts w:hint="eastAsia" w:ascii="宋体" w:hAnsi="宋体"/>
                <w:color w:val="000000"/>
                <w:sz w:val="18"/>
                <w:szCs w:val="18"/>
              </w:rPr>
              <w:t>（5分）</w:t>
            </w:r>
          </w:p>
        </w:tc>
        <w:tc>
          <w:tcPr>
            <w:tcW w:w="491"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4</w:t>
            </w:r>
          </w:p>
        </w:tc>
        <w:tc>
          <w:tcPr>
            <w:tcW w:w="2669"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部门履行职责对生态环境所带来的直接或间接影响。</w:t>
            </w:r>
          </w:p>
        </w:tc>
        <w:tc>
          <w:tcPr>
            <w:tcW w:w="4372" w:type="dxa"/>
            <w:vMerge w:val="continue"/>
            <w:tcBorders>
              <w:top w:val="nil"/>
              <w:left w:val="nil"/>
              <w:bottom w:val="single" w:color="auto" w:sz="4" w:space="0"/>
              <w:right w:val="single" w:color="auto" w:sz="4" w:space="0"/>
            </w:tcBorders>
            <w:vAlign w:val="center"/>
          </w:tcPr>
          <w:p>
            <w:pPr>
              <w:widowControl/>
              <w:ind w:firstLine="360"/>
              <w:jc w:val="left"/>
              <w:rPr>
                <w:rFonts w:ascii="宋体" w:hAnsi="宋体"/>
                <w:color w:val="000000"/>
                <w:sz w:val="18"/>
                <w:szCs w:val="18"/>
              </w:rPr>
            </w:pPr>
          </w:p>
        </w:tc>
      </w:tr>
      <w:tr>
        <w:tblPrEx>
          <w:tblCellMar>
            <w:top w:w="0" w:type="dxa"/>
            <w:left w:w="0" w:type="dxa"/>
            <w:bottom w:w="0" w:type="dxa"/>
            <w:right w:w="0" w:type="dxa"/>
          </w:tblCellMar>
        </w:tblPrEx>
        <w:trPr>
          <w:trHeight w:val="1296" w:hRule="atLeast"/>
          <w:jc w:val="center"/>
        </w:trPr>
        <w:tc>
          <w:tcPr>
            <w:tcW w:w="893" w:type="dxa"/>
            <w:vMerge w:val="continue"/>
            <w:tcBorders>
              <w:top w:val="nil"/>
              <w:left w:val="single" w:color="auto" w:sz="4" w:space="0"/>
              <w:bottom w:val="nil"/>
              <w:right w:val="single" w:color="auto" w:sz="4" w:space="0"/>
            </w:tcBorders>
            <w:vAlign w:val="center"/>
          </w:tcPr>
          <w:p>
            <w:pPr>
              <w:widowControl/>
              <w:ind w:firstLine="420"/>
              <w:jc w:val="left"/>
              <w:rPr>
                <w:rFonts w:ascii="仿宋_GB2312" w:hAnsi="宋体"/>
                <w:color w:val="000000"/>
              </w:rPr>
            </w:pPr>
          </w:p>
        </w:tc>
        <w:tc>
          <w:tcPr>
            <w:tcW w:w="719" w:type="dxa"/>
            <w:vMerge w:val="continue"/>
            <w:tcBorders>
              <w:top w:val="nil"/>
              <w:left w:val="nil"/>
              <w:bottom w:val="nil"/>
              <w:right w:val="single" w:color="auto" w:sz="4" w:space="0"/>
            </w:tcBorders>
            <w:vAlign w:val="center"/>
          </w:tcPr>
          <w:p>
            <w:pPr>
              <w:widowControl/>
              <w:ind w:firstLine="360"/>
              <w:jc w:val="left"/>
              <w:rPr>
                <w:rFonts w:ascii="仿宋_GB2312" w:hAnsi="宋体"/>
                <w:color w:val="000000"/>
                <w:sz w:val="18"/>
                <w:szCs w:val="18"/>
              </w:rPr>
            </w:pPr>
          </w:p>
        </w:tc>
        <w:tc>
          <w:tcPr>
            <w:tcW w:w="848" w:type="dxa"/>
            <w:tcBorders>
              <w:top w:val="nil"/>
              <w:left w:val="nil"/>
              <w:bottom w:val="nil"/>
              <w:right w:val="single" w:color="auto" w:sz="4" w:space="0"/>
            </w:tcBorders>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社会公众或服务对象满意度（5分）</w:t>
            </w:r>
          </w:p>
        </w:tc>
        <w:tc>
          <w:tcPr>
            <w:tcW w:w="491"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5</w:t>
            </w:r>
          </w:p>
        </w:tc>
        <w:tc>
          <w:tcPr>
            <w:tcW w:w="2669" w:type="dxa"/>
            <w:tcBorders>
              <w:top w:val="nil"/>
              <w:left w:val="nil"/>
              <w:bottom w:val="nil"/>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社会公众或部门的服务对象对部门履职效果的满意程度。</w:t>
            </w:r>
          </w:p>
        </w:tc>
        <w:tc>
          <w:tcPr>
            <w:tcW w:w="4372" w:type="dxa"/>
            <w:tcBorders>
              <w:top w:val="nil"/>
              <w:left w:val="nil"/>
              <w:bottom w:val="nil"/>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kern w:val="0"/>
                <w:sz w:val="18"/>
                <w:szCs w:val="18"/>
              </w:rPr>
              <w:t>按收集到的服务对象的满意率计算得分（5分）</w:t>
            </w:r>
          </w:p>
        </w:tc>
      </w:tr>
      <w:tr>
        <w:tblPrEx>
          <w:tblCellMar>
            <w:top w:w="0" w:type="dxa"/>
            <w:left w:w="0" w:type="dxa"/>
            <w:bottom w:w="0" w:type="dxa"/>
            <w:right w:w="0" w:type="dxa"/>
          </w:tblCellMar>
        </w:tblPrEx>
        <w:trPr>
          <w:trHeight w:val="1296" w:hRule="atLeast"/>
          <w:jc w:val="center"/>
        </w:trPr>
        <w:tc>
          <w:tcPr>
            <w:tcW w:w="893" w:type="dxa"/>
            <w:tcBorders>
              <w:top w:val="nil"/>
              <w:left w:val="single" w:color="auto" w:sz="4" w:space="0"/>
              <w:bottom w:val="single" w:color="auto" w:sz="4" w:space="0"/>
              <w:right w:val="single" w:color="auto" w:sz="4" w:space="0"/>
            </w:tcBorders>
            <w:vAlign w:val="center"/>
          </w:tcPr>
          <w:p>
            <w:pPr>
              <w:widowControl/>
              <w:jc w:val="center"/>
              <w:rPr>
                <w:rFonts w:hint="default" w:ascii="仿宋_GB2312" w:hAnsi="宋体" w:eastAsia="宋体"/>
                <w:color w:val="000000"/>
                <w:lang w:val="en-US" w:eastAsia="zh-CN"/>
              </w:rPr>
            </w:pPr>
            <w:r>
              <w:rPr>
                <w:rFonts w:hint="eastAsia" w:ascii="仿宋_GB2312" w:hAnsi="宋体"/>
                <w:color w:val="000000"/>
                <w:lang w:val="en-US" w:eastAsia="zh-CN"/>
              </w:rPr>
              <w:t>总  分</w:t>
            </w:r>
          </w:p>
        </w:tc>
        <w:tc>
          <w:tcPr>
            <w:tcW w:w="719" w:type="dxa"/>
            <w:tcBorders>
              <w:top w:val="nil"/>
              <w:left w:val="nil"/>
              <w:bottom w:val="single" w:color="auto" w:sz="4" w:space="0"/>
              <w:right w:val="single" w:color="auto" w:sz="4" w:space="0"/>
            </w:tcBorders>
            <w:vAlign w:val="center"/>
          </w:tcPr>
          <w:p>
            <w:pPr>
              <w:widowControl/>
              <w:ind w:firstLine="360"/>
              <w:jc w:val="left"/>
              <w:rPr>
                <w:rFonts w:ascii="仿宋_GB2312"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p>
        </w:tc>
        <w:tc>
          <w:tcPr>
            <w:tcW w:w="491"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宋体" w:hAnsi="宋体"/>
                <w:color w:val="000000"/>
                <w:sz w:val="18"/>
                <w:szCs w:val="18"/>
                <w:lang w:val="en-US" w:eastAsia="zh-CN"/>
              </w:rPr>
            </w:pPr>
            <w:r>
              <w:rPr>
                <w:rFonts w:hint="eastAsia" w:ascii="宋体" w:hAnsi="宋体"/>
                <w:color w:val="000000"/>
                <w:sz w:val="18"/>
                <w:szCs w:val="18"/>
                <w:lang w:val="en-US" w:eastAsia="zh-CN"/>
              </w:rPr>
              <w:t>82.5</w:t>
            </w:r>
          </w:p>
        </w:tc>
        <w:tc>
          <w:tcPr>
            <w:tcW w:w="2669"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bookmarkStart w:id="0" w:name="_GoBack"/>
            <w:bookmarkEnd w:id="0"/>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kern w:val="0"/>
                <w:sz w:val="18"/>
                <w:szCs w:val="18"/>
              </w:rPr>
            </w:pPr>
          </w:p>
        </w:tc>
      </w:tr>
    </w:tbl>
    <w:p>
      <w:pPr>
        <w:shd w:val="clear" w:color="auto" w:fill="FFFFFF"/>
        <w:spacing w:line="580" w:lineRule="exact"/>
        <w:ind w:firstLine="640"/>
        <w:rPr>
          <w:rFonts w:hint="eastAsia" w:ascii="仿宋_GB2312" w:eastAsia="仿宋_GB2312"/>
          <w:color w:val="000000"/>
        </w:rPr>
      </w:pPr>
      <w:r>
        <w:rPr>
          <w:rFonts w:hint="eastAsia" w:ascii="仿宋_GB2312" w:eastAsia="仿宋_GB2312"/>
          <w:color w:val="000000"/>
        </w:rPr>
        <w:t xml:space="preserve"> </w:t>
      </w:r>
    </w:p>
    <w:p>
      <w:pPr>
        <w:shd w:val="clear" w:color="auto" w:fill="FFFFFF"/>
        <w:spacing w:line="580" w:lineRule="exact"/>
        <w:ind w:firstLine="640"/>
        <w:rPr>
          <w:rFonts w:hint="eastAsia" w:ascii="仿宋_GB2312" w:eastAsia="仿宋_GB2312"/>
          <w:color w:val="000000"/>
        </w:rPr>
      </w:pPr>
      <w:r>
        <w:rPr>
          <w:rFonts w:hint="eastAsia" w:ascii="仿宋_GB2312" w:eastAsia="仿宋_GB2312"/>
          <w:color w:val="000000"/>
        </w:rPr>
        <w:t xml:space="preserve"> </w:t>
      </w:r>
    </w:p>
    <w:p>
      <w:pPr>
        <w:shd w:val="clear" w:color="auto" w:fill="FFFFFF"/>
        <w:spacing w:line="580" w:lineRule="exact"/>
        <w:ind w:firstLine="640"/>
        <w:rPr>
          <w:rFonts w:hint="eastAsia" w:ascii="仿宋_GB2312" w:eastAsia="仿宋_GB2312"/>
          <w:color w:val="000000"/>
        </w:rPr>
      </w:pPr>
      <w:r>
        <w:rPr>
          <w:rFonts w:hint="eastAsia" w:ascii="仿宋_GB2312" w:eastAsia="仿宋_GB2312"/>
          <w:color w:val="000000"/>
        </w:rPr>
        <w:t xml:space="preserve"> </w:t>
      </w:r>
    </w:p>
    <w:p>
      <w:pPr>
        <w:shd w:val="clear" w:color="auto" w:fill="FFFFFF"/>
        <w:spacing w:line="580" w:lineRule="exact"/>
        <w:rPr>
          <w:rFonts w:hint="eastAsia" w:ascii="仿宋_GB2312" w:eastAsia="仿宋_GB2312"/>
          <w:color w:val="000000"/>
        </w:rPr>
      </w:pPr>
    </w:p>
    <w:p>
      <w:pPr>
        <w:shd w:val="clear" w:color="auto" w:fill="FFFFFF"/>
        <w:spacing w:line="580" w:lineRule="exact"/>
        <w:ind w:firstLine="640"/>
        <w:rPr>
          <w:rFonts w:hint="eastAsia" w:ascii="仿宋_GB2312" w:eastAsia="仿宋_GB2312"/>
          <w:color w:val="000000"/>
        </w:rPr>
      </w:pPr>
      <w:r>
        <w:rPr>
          <w:rFonts w:hint="eastAsia" w:ascii="仿宋_GB2312" w:eastAsia="仿宋_GB2312"/>
          <w:color w:val="000000"/>
        </w:rPr>
        <w:t xml:space="preserve"> </w:t>
      </w:r>
    </w:p>
    <w:p>
      <w:pPr>
        <w:shd w:val="clear" w:color="auto" w:fill="FFFFFF"/>
        <w:spacing w:line="580" w:lineRule="exact"/>
        <w:ind w:firstLine="640"/>
      </w:pPr>
      <w:r>
        <w:rPr>
          <w:rFonts w:hint="eastAsia" w:ascii="仿宋_GB2312" w:eastAsia="仿宋_GB2312"/>
          <w:color w:val="000000"/>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Y3OWM4ZWU4YmIxZDNlMDU5ODcyMzg5MWRiMGVkZGEifQ=="/>
  </w:docVars>
  <w:rsids>
    <w:rsidRoot w:val="00CB31FE"/>
    <w:rsid w:val="00670E51"/>
    <w:rsid w:val="00BE467A"/>
    <w:rsid w:val="00CB31FE"/>
    <w:rsid w:val="12190AF0"/>
    <w:rsid w:val="1B6B554B"/>
    <w:rsid w:val="1E1B34C4"/>
    <w:rsid w:val="2ED35345"/>
    <w:rsid w:val="396E4269"/>
    <w:rsid w:val="5B19439C"/>
    <w:rsid w:val="74972D96"/>
    <w:rsid w:val="76036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6"/>
    <w:qFormat/>
    <w:uiPriority w:val="9"/>
    <w:pPr>
      <w:keepNext/>
      <w:keepLines/>
      <w:spacing w:before="340" w:after="330" w:line="560" w:lineRule="exact"/>
      <w:jc w:val="center"/>
      <w:outlineLvl w:val="0"/>
    </w:pPr>
    <w:rPr>
      <w:rFonts w:ascii="Calibri" w:hAnsi="Calibri" w:eastAsia="方正小标宋_GBK" w:cs="Calibri"/>
      <w:bCs/>
      <w:kern w:val="44"/>
      <w:sz w:val="44"/>
      <w:szCs w:val="44"/>
    </w:rPr>
  </w:style>
  <w:style w:type="paragraph" w:styleId="3">
    <w:name w:val="heading 3"/>
    <w:basedOn w:val="1"/>
    <w:next w:val="1"/>
    <w:link w:val="7"/>
    <w:unhideWhenUsed/>
    <w:qFormat/>
    <w:uiPriority w:val="9"/>
    <w:pPr>
      <w:keepNext/>
      <w:keepLines/>
      <w:spacing w:before="260" w:after="260" w:line="560" w:lineRule="exact"/>
      <w:ind w:firstLine="200" w:firstLineChars="200"/>
      <w:outlineLvl w:val="2"/>
    </w:pPr>
    <w:rPr>
      <w:rFonts w:ascii="Calibri" w:hAnsi="Calibri" w:eastAsia="楷体" w:cs="Calibri"/>
      <w:bCs/>
      <w:sz w:val="32"/>
      <w:szCs w:val="32"/>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customStyle="1" w:styleId="6">
    <w:name w:val="标题 1 字符"/>
    <w:basedOn w:val="5"/>
    <w:link w:val="2"/>
    <w:qFormat/>
    <w:uiPriority w:val="9"/>
    <w:rPr>
      <w:rFonts w:ascii="Calibri" w:hAnsi="Calibri" w:eastAsia="方正小标宋_GBK" w:cs="Calibri"/>
      <w:bCs/>
      <w:kern w:val="44"/>
      <w:sz w:val="44"/>
      <w:szCs w:val="44"/>
    </w:rPr>
  </w:style>
  <w:style w:type="character" w:customStyle="1" w:styleId="7">
    <w:name w:val="标题 3 字符"/>
    <w:basedOn w:val="5"/>
    <w:link w:val="3"/>
    <w:qFormat/>
    <w:uiPriority w:val="9"/>
    <w:rPr>
      <w:rFonts w:ascii="Calibri" w:hAnsi="Calibri" w:eastAsia="楷体" w:cs="Calibri"/>
      <w:bCs/>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3546</Words>
  <Characters>3697</Characters>
  <Lines>48</Lines>
  <Paragraphs>13</Paragraphs>
  <TotalTime>28</TotalTime>
  <ScaleCrop>false</ScaleCrop>
  <LinksUpToDate>false</LinksUpToDate>
  <CharactersWithSpaces>3707</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2021-03-03T06:49:00Z</dcterms:created>
  <dc:creator>Administrator</dc:creator>
  <cp:lastModifiedBy>风和日丽</cp:lastModifiedBy>
  <dcterms:modified xsi:type="dcterms:W3CDTF">2022-08-23T02:16:07Z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F4C1F9C64EDD42A289BE32A0A40054DA</vt:lpwstr>
  </property>
</Properties>
</file>