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60"/>
        <w:rPr>
          <w:rFonts w:ascii="黑体" w:hAnsi="黑体" w:eastAsia="黑体"/>
          <w:color w:val="000000"/>
          <w:sz w:val="28"/>
          <w:szCs w:val="28"/>
        </w:rPr>
      </w:pPr>
      <w:r>
        <w:rPr>
          <w:rFonts w:hint="eastAsia" w:ascii="黑体" w:hAnsi="黑体" w:eastAsia="黑体"/>
          <w:color w:val="000000"/>
          <w:sz w:val="28"/>
          <w:szCs w:val="28"/>
        </w:rPr>
        <w:t>附件1</w:t>
      </w:r>
    </w:p>
    <w:p>
      <w:pPr>
        <w:ind w:firstLine="720"/>
        <w:jc w:val="center"/>
        <w:rPr>
          <w:rFonts w:hint="eastAsia" w:ascii="黑体" w:hAnsi="黑体" w:eastAsia="黑体"/>
          <w:color w:val="000000"/>
          <w:sz w:val="36"/>
          <w:szCs w:val="36"/>
        </w:rPr>
      </w:pPr>
      <w:r>
        <w:rPr>
          <w:rFonts w:hint="eastAsia" w:ascii="黑体" w:hAnsi="黑体" w:eastAsia="黑体"/>
          <w:color w:val="000000"/>
          <w:sz w:val="36"/>
          <w:szCs w:val="36"/>
        </w:rPr>
        <w:t>2020年部门整体支出绩效自评指标计分表</w:t>
      </w:r>
    </w:p>
    <w:p>
      <w:pPr>
        <w:spacing w:line="300" w:lineRule="exact"/>
        <w:ind w:firstLine="640"/>
        <w:rPr>
          <w:rFonts w:hint="eastAsia" w:ascii="黑体" w:hAnsi="黑体" w:eastAsia="黑体"/>
          <w:color w:val="000000"/>
        </w:rPr>
      </w:pPr>
      <w:r>
        <w:rPr>
          <w:rFonts w:hint="eastAsia" w:ascii="黑体" w:hAnsi="黑体" w:eastAsia="黑体"/>
          <w:color w:val="000000"/>
        </w:rPr>
        <w:t xml:space="preserve"> </w:t>
      </w:r>
    </w:p>
    <w:tbl>
      <w:tblPr>
        <w:tblStyle w:val="2"/>
        <w:tblW w:w="9992" w:type="dxa"/>
        <w:jc w:val="center"/>
        <w:tblLayout w:type="fixed"/>
        <w:tblCellMar>
          <w:top w:w="0" w:type="dxa"/>
          <w:left w:w="0" w:type="dxa"/>
          <w:bottom w:w="0" w:type="dxa"/>
          <w:right w:w="0" w:type="dxa"/>
        </w:tblCellMar>
      </w:tblPr>
      <w:tblGrid>
        <w:gridCol w:w="828"/>
        <w:gridCol w:w="784"/>
        <w:gridCol w:w="848"/>
        <w:gridCol w:w="687"/>
        <w:gridCol w:w="2473"/>
        <w:gridCol w:w="4372"/>
      </w:tblGrid>
      <w:tr>
        <w:tblPrEx>
          <w:tblCellMar>
            <w:top w:w="0" w:type="dxa"/>
            <w:left w:w="0" w:type="dxa"/>
            <w:bottom w:w="0" w:type="dxa"/>
            <w:right w:w="0" w:type="dxa"/>
          </w:tblCellMar>
        </w:tblPrEx>
        <w:trPr>
          <w:trHeight w:val="853" w:hRule="atLeast"/>
          <w:jc w:val="center"/>
        </w:trPr>
        <w:tc>
          <w:tcPr>
            <w:tcW w:w="8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一级</w:t>
            </w:r>
            <w:r>
              <w:rPr>
                <w:rFonts w:hint="eastAsia" w:ascii="黑体" w:hAnsi="黑体" w:eastAsia="黑体"/>
                <w:color w:val="000000"/>
              </w:rPr>
              <w:br w:type="textWrapping"/>
            </w:r>
            <w:r>
              <w:rPr>
                <w:rFonts w:hint="eastAsia" w:ascii="黑体" w:hAnsi="黑体" w:eastAsia="黑体"/>
                <w:color w:val="000000"/>
              </w:rPr>
              <w:t>指标</w:t>
            </w:r>
          </w:p>
        </w:tc>
        <w:tc>
          <w:tcPr>
            <w:tcW w:w="7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二级</w:t>
            </w:r>
          </w:p>
          <w:p>
            <w:pPr>
              <w:spacing w:line="240" w:lineRule="exact"/>
              <w:ind w:firstLine="640"/>
              <w:jc w:val="center"/>
              <w:rPr>
                <w:rFonts w:hint="eastAsia" w:ascii="黑体" w:hAnsi="黑体" w:eastAsia="黑体"/>
                <w:color w:val="000000"/>
              </w:rPr>
            </w:pPr>
            <w:r>
              <w:rPr>
                <w:rFonts w:hint="eastAsia" w:ascii="黑体" w:hAnsi="黑体" w:eastAsia="黑体"/>
                <w:color w:val="000000"/>
              </w:rPr>
              <w:t>指标</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三级  指标</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自评分</w:t>
            </w:r>
          </w:p>
        </w:tc>
        <w:tc>
          <w:tcPr>
            <w:tcW w:w="247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指标说明</w:t>
            </w:r>
          </w:p>
        </w:tc>
      </w:tr>
      <w:tr>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投 入</w:t>
            </w:r>
          </w:p>
          <w:p>
            <w:pPr>
              <w:spacing w:line="240" w:lineRule="exact"/>
              <w:ind w:firstLine="640"/>
              <w:jc w:val="center"/>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目标</w:t>
            </w:r>
            <w:r>
              <w:rPr>
                <w:rFonts w:hint="eastAsia" w:ascii="宋体" w:hAnsi="宋体"/>
                <w:color w:val="000000"/>
                <w:sz w:val="18"/>
                <w:szCs w:val="18"/>
              </w:rPr>
              <w:br w:type="textWrapping"/>
            </w:r>
            <w:r>
              <w:rPr>
                <w:rFonts w:hint="eastAsia" w:ascii="宋体" w:hAnsi="宋体"/>
                <w:color w:val="000000"/>
                <w:sz w:val="18"/>
                <w:szCs w:val="18"/>
              </w:rPr>
              <w:t>设定</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绩效目标合理性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绩效指标明确性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（3分）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配置</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在职人员控制率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7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“三公</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经费”</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变动率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7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重点支出安排率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7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过  程（</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执行</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（4分）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7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调整率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918"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支付</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进度率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结转结余控制率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（4分）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7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公用经费控制率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06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“三公经费”控制率（2分）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373"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政府采购执行率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（4分）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247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预算</w:t>
            </w:r>
          </w:p>
          <w:p>
            <w:pPr>
              <w:spacing w:line="240" w:lineRule="exact"/>
              <w:ind w:firstLine="640"/>
              <w:jc w:val="center"/>
              <w:rPr>
                <w:rFonts w:hint="eastAsia" w:ascii="仿宋_GB2312" w:hAnsi="宋体"/>
                <w:color w:val="000000"/>
              </w:rPr>
            </w:pPr>
            <w:r>
              <w:rPr>
                <w:rFonts w:hint="eastAsia" w:ascii="仿宋_GB2312" w:hAnsi="宋体"/>
                <w:color w:val="000000"/>
              </w:rPr>
              <w:t>管理</w:t>
            </w:r>
          </w:p>
          <w:p>
            <w:pPr>
              <w:spacing w:line="240" w:lineRule="exact"/>
              <w:ind w:firstLine="640"/>
              <w:jc w:val="center"/>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3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420"/>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资金使用合规性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420"/>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预决算信息公开性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420"/>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基础信息完善性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26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restart"/>
            <w:tcBorders>
              <w:top w:val="nil"/>
              <w:left w:val="nil"/>
              <w:bottom w:val="nil"/>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资产</w:t>
            </w:r>
            <w:r>
              <w:rPr>
                <w:rFonts w:hint="eastAsia" w:ascii="仿宋_GB2312" w:hAnsi="宋体"/>
                <w:color w:val="000000"/>
              </w:rPr>
              <w:br w:type="textWrapping"/>
            </w:r>
            <w:r>
              <w:rPr>
                <w:rFonts w:hint="eastAsia" w:ascii="仿宋_GB2312" w:hAnsi="宋体"/>
                <w:color w:val="000000"/>
              </w:rPr>
              <w:t>管理</w:t>
            </w:r>
          </w:p>
          <w:p>
            <w:pPr>
              <w:spacing w:line="240" w:lineRule="exact"/>
              <w:ind w:firstLine="640"/>
              <w:jc w:val="center"/>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05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nil"/>
              <w:right w:val="single" w:color="auto" w:sz="4" w:space="0"/>
            </w:tcBorders>
            <w:vAlign w:val="center"/>
          </w:tcPr>
          <w:p>
            <w:pPr>
              <w:widowControl/>
              <w:ind w:firstLine="420"/>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资产管理安全性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88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nil"/>
              <w:right w:val="single" w:color="auto" w:sz="4" w:space="0"/>
            </w:tcBorders>
            <w:vAlign w:val="center"/>
          </w:tcPr>
          <w:p>
            <w:pPr>
              <w:widowControl/>
              <w:ind w:firstLine="420"/>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固定资产利用率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产  出（</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仿宋_GB2312" w:hAnsi="宋体"/>
                <w:color w:val="000000"/>
                <w:sz w:val="18"/>
                <w:szCs w:val="18"/>
              </w:rPr>
            </w:pPr>
            <w:r>
              <w:rPr>
                <w:rFonts w:hint="eastAsia" w:ascii="仿宋_GB2312" w:hAnsi="宋体"/>
                <w:color w:val="000000"/>
                <w:sz w:val="18"/>
                <w:szCs w:val="18"/>
              </w:rPr>
              <w:t>职责</w:t>
            </w:r>
            <w:r>
              <w:rPr>
                <w:rFonts w:hint="eastAsia" w:ascii="仿宋_GB2312" w:hAnsi="宋体"/>
                <w:color w:val="000000"/>
                <w:sz w:val="18"/>
                <w:szCs w:val="18"/>
              </w:rPr>
              <w:br w:type="textWrapping"/>
            </w:r>
            <w:r>
              <w:rPr>
                <w:rFonts w:hint="eastAsia" w:ascii="仿宋_GB2312" w:hAnsi="宋体"/>
                <w:color w:val="000000"/>
                <w:sz w:val="18"/>
                <w:szCs w:val="18"/>
              </w:rPr>
              <w:t>履行</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实际</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（8分）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47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完成</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及时率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（4分）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247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完成及时率=（及时完成实际工作数/计划工作数）×100%。1-4季度各得1分</w:t>
            </w:r>
          </w:p>
        </w:tc>
      </w:tr>
      <w:tr>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质量</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达标率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（8分）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47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重点工作办结率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（10分）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c>
          <w:tcPr>
            <w:tcW w:w="247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910" w:hRule="atLeast"/>
          <w:jc w:val="center"/>
        </w:trPr>
        <w:tc>
          <w:tcPr>
            <w:tcW w:w="828"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效  果（</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仿宋_GB2312" w:hAnsi="宋体"/>
                <w:color w:val="000000"/>
                <w:sz w:val="18"/>
                <w:szCs w:val="18"/>
              </w:rPr>
            </w:pPr>
            <w:r>
              <w:rPr>
                <w:rFonts w:hint="eastAsia" w:ascii="仿宋_GB2312" w:hAnsi="宋体"/>
                <w:color w:val="000000"/>
                <w:sz w:val="18"/>
                <w:szCs w:val="18"/>
              </w:rPr>
              <w:t>履职</w:t>
            </w:r>
            <w:r>
              <w:rPr>
                <w:rFonts w:hint="eastAsia" w:ascii="仿宋_GB2312" w:hAnsi="宋体"/>
                <w:color w:val="000000"/>
                <w:sz w:val="18"/>
                <w:szCs w:val="18"/>
              </w:rPr>
              <w:br w:type="textWrapping"/>
            </w:r>
            <w:r>
              <w:rPr>
                <w:rFonts w:hint="eastAsia" w:ascii="仿宋_GB2312" w:hAnsi="宋体"/>
                <w:color w:val="000000"/>
                <w:sz w:val="18"/>
                <w:szCs w:val="18"/>
              </w:rPr>
              <w:t>效益</w:t>
            </w:r>
          </w:p>
          <w:p>
            <w:pPr>
              <w:spacing w:line="240" w:lineRule="exact"/>
              <w:ind w:firstLine="360"/>
              <w:jc w:val="center"/>
              <w:rPr>
                <w:rFonts w:hint="eastAsia" w:ascii="仿宋_GB2312" w:hAnsi="宋体"/>
                <w:color w:val="000000"/>
                <w:sz w:val="18"/>
                <w:szCs w:val="18"/>
              </w:rPr>
            </w:pPr>
            <w:r>
              <w:rPr>
                <w:rFonts w:hint="eastAsia" w:ascii="仿宋_GB2312" w:hAnsi="宋体"/>
                <w:color w:val="000000"/>
                <w:sz w:val="18"/>
                <w:szCs w:val="18"/>
              </w:rPr>
              <w:t>（</w:t>
            </w:r>
            <w:r>
              <w:rPr>
                <w:rFonts w:hint="eastAsia" w:ascii="仿宋_GB2312" w:hAnsi="宋体" w:eastAsia="仿宋_GB2312"/>
                <w:color w:val="000000"/>
                <w:sz w:val="18"/>
                <w:szCs w:val="18"/>
              </w:rPr>
              <w:t>20</w:t>
            </w:r>
            <w:r>
              <w:rPr>
                <w:rFonts w:hint="eastAsia" w:ascii="宋体" w:hAnsi="宋体"/>
                <w:color w:val="000000"/>
                <w:sz w:val="18"/>
                <w:szCs w:val="18"/>
              </w:rPr>
              <w:t>分）</w:t>
            </w:r>
          </w:p>
        </w:tc>
        <w:tc>
          <w:tcPr>
            <w:tcW w:w="84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经济效益</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7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810"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社会效益</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7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360"/>
              <w:jc w:val="left"/>
              <w:rPr>
                <w:rFonts w:ascii="宋体" w:hAnsi="宋体"/>
                <w:color w:val="000000"/>
                <w:sz w:val="18"/>
                <w:szCs w:val="18"/>
              </w:rPr>
            </w:pPr>
          </w:p>
        </w:tc>
      </w:tr>
      <w:tr>
        <w:tblPrEx>
          <w:tblCellMar>
            <w:top w:w="0" w:type="dxa"/>
            <w:left w:w="0" w:type="dxa"/>
            <w:bottom w:w="0" w:type="dxa"/>
            <w:right w:w="0" w:type="dxa"/>
          </w:tblCellMar>
        </w:tblPrEx>
        <w:trPr>
          <w:trHeight w:val="827"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生态效益</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7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360"/>
              <w:jc w:val="left"/>
              <w:rPr>
                <w:rFonts w:ascii="宋体" w:hAnsi="宋体"/>
                <w:color w:val="000000"/>
                <w:sz w:val="18"/>
                <w:szCs w:val="18"/>
              </w:rPr>
            </w:pPr>
          </w:p>
        </w:tc>
      </w:tr>
      <w:tr>
        <w:tblPrEx>
          <w:tblCellMar>
            <w:top w:w="0" w:type="dxa"/>
            <w:left w:w="0" w:type="dxa"/>
            <w:bottom w:w="0" w:type="dxa"/>
            <w:right w:w="0" w:type="dxa"/>
          </w:tblCellMar>
        </w:tblPrEx>
        <w:trPr>
          <w:trHeight w:val="1296"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社会公众或服务对象满意度（5分）</w:t>
            </w:r>
          </w:p>
        </w:tc>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7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kern w:val="0"/>
                <w:sz w:val="18"/>
                <w:szCs w:val="18"/>
              </w:rPr>
              <w:t>按收集到的服务对象的满意率计算得分（5分）</w:t>
            </w:r>
          </w:p>
        </w:tc>
      </w:tr>
      <w:tr>
        <w:tblPrEx>
          <w:tblCellMar>
            <w:top w:w="0" w:type="dxa"/>
            <w:left w:w="0" w:type="dxa"/>
            <w:bottom w:w="0" w:type="dxa"/>
            <w:right w:w="0" w:type="dxa"/>
          </w:tblCellMar>
        </w:tblPrEx>
        <w:trPr>
          <w:trHeight w:val="129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_GB2312" w:hAnsi="宋体" w:eastAsia="宋体"/>
                <w:color w:val="000000"/>
                <w:lang w:val="en-US" w:eastAsia="zh-CN"/>
              </w:rPr>
            </w:pPr>
            <w:r>
              <w:rPr>
                <w:rFonts w:hint="eastAsia" w:ascii="仿宋_GB2312" w:hAnsi="宋体"/>
                <w:color w:val="000000"/>
                <w:lang w:val="en-US" w:eastAsia="zh-CN"/>
              </w:rPr>
              <w:t>总分</w:t>
            </w:r>
          </w:p>
        </w:tc>
        <w:tc>
          <w:tcPr>
            <w:tcW w:w="784" w:type="dxa"/>
            <w:tcBorders>
              <w:top w:val="single" w:color="auto" w:sz="4" w:space="0"/>
              <w:left w:val="single" w:color="auto" w:sz="4" w:space="0"/>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p>
        </w:tc>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90</w:t>
            </w:r>
          </w:p>
        </w:tc>
        <w:tc>
          <w:tcPr>
            <w:tcW w:w="247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p>
        </w:tc>
        <w:tc>
          <w:tcPr>
            <w:tcW w:w="437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kern w:val="0"/>
                <w:sz w:val="18"/>
                <w:szCs w:val="18"/>
              </w:rPr>
            </w:pPr>
          </w:p>
        </w:tc>
      </w:tr>
    </w:tbl>
    <w:p>
      <w:pPr>
        <w:shd w:val="clear" w:color="auto" w:fill="FFFFFF"/>
        <w:spacing w:line="580" w:lineRule="exact"/>
        <w:ind w:firstLine="640"/>
        <w:rPr>
          <w:rFonts w:hint="eastAsia" w:ascii="仿宋_GB2312" w:eastAsia="仿宋_GB2312"/>
          <w:color w:val="000000"/>
        </w:rPr>
      </w:pPr>
      <w:r>
        <w:rPr>
          <w:rFonts w:hint="eastAsia" w:ascii="仿宋_GB2312" w:eastAsia="仿宋_GB2312"/>
          <w:color w:val="000000"/>
        </w:rPr>
        <w:t xml:space="preserve"> </w:t>
      </w:r>
    </w:p>
    <w:p>
      <w:pPr>
        <w:keepNext w:val="0"/>
        <w:keepLines w:val="0"/>
        <w:pageBreakBefore w:val="0"/>
        <w:widowControl w:val="0"/>
        <w:kinsoku/>
        <w:wordWrap/>
        <w:overflowPunct w:val="0"/>
        <w:topLinePunct/>
        <w:autoSpaceDE/>
        <w:autoSpaceDN/>
        <w:bidi w:val="0"/>
        <w:adjustRightInd/>
        <w:snapToGrid/>
        <w:spacing w:after="0" w:line="360" w:lineRule="auto"/>
        <w:ind w:firstLine="640" w:firstLineChars="200"/>
        <w:jc w:val="left"/>
        <w:textAlignment w:val="baseline"/>
        <w:rPr>
          <w:rFonts w:hint="eastAsia" w:ascii="仿宋_GB2312" w:hAnsi="Times New Roman" w:eastAsia="仿宋_GB2312"/>
          <w:kern w:val="21"/>
          <w:sz w:val="32"/>
          <w:szCs w:val="32"/>
        </w:rPr>
      </w:pPr>
    </w:p>
    <w:p>
      <w:pPr>
        <w:spacing w:line="360" w:lineRule="auto"/>
        <w:ind w:firstLine="600" w:firstLineChars="200"/>
        <w:jc w:val="left"/>
        <w:rPr>
          <w:rFonts w:hint="eastAsia" w:ascii="仿宋_GB2312" w:eastAsia="仿宋_GB2312"/>
          <w:sz w:val="30"/>
          <w:szCs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134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300" w:lineRule="auto"/>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2022-08-25T08:57:27Z</dcterms:created>
  <dc:creator>Administrator</dc:creator>
  <cp:lastModifiedBy>zj</cp:lastModifiedBy>
  <dcterms:modified xsi:type="dcterms:W3CDTF">2022-08-25T08:57:42Z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A83E0A917F4E45EDAA721EC1A68242F7</vt:lpwstr>
  </property>
</Properties>
</file>