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20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一级指标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 xml:space="preserve">设有目标（1分）   </w:t>
            </w:r>
          </w:p>
          <w:p>
            <w:pPr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 xml:space="preserve">目标明确（1分）   </w:t>
            </w:r>
          </w:p>
          <w:p>
            <w:pPr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 xml:space="preserve">目标细化（1分）    </w:t>
            </w:r>
          </w:p>
          <w:p>
            <w:pPr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部门年度工作计划（1分）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有相应的资金管理办法（1分）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办法健全、规范（1分）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符合分配办法（2分）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到位及时（2分）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不及时但未影响项目进度 （1分）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 xml:space="preserve">虚列套取扣4-7分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依据不合规扣2分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截留、挤占、挪用扣3-6分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超标准开支扣2-5分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200" w:hanging="200" w:hangingChars="100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管理制度健全（2分）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项目产出能持续运用（4分）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总分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9</w:t>
            </w:r>
            <w:r>
              <w:rPr>
                <w:rFonts w:hint="eastAsia" w:ascii="仿宋_GB2312" w:hAnsi="宋体" w:cs="宋体"/>
                <w:kern w:val="0"/>
                <w:sz w:val="20"/>
                <w:lang w:val="en-US" w:eastAsia="zh-CN"/>
              </w:rPr>
              <w:t>6</w:t>
            </w:r>
            <w:r>
              <w:rPr>
                <w:rFonts w:hint="eastAsia" w:ascii="仿宋_GB2312" w:hAnsi="宋体" w:cs="宋体"/>
                <w:kern w:val="0"/>
                <w:sz w:val="20"/>
              </w:rPr>
              <w:t>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cs="宋体"/>
                <w:kern w:val="0"/>
                <w:sz w:val="20"/>
              </w:rPr>
              <w:t>　</w:t>
            </w:r>
          </w:p>
        </w:tc>
      </w:tr>
    </w:tbl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31F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 Char Char Char Char Char1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2022-08-24T07:37:27Z</dcterms:created>
  <dc:creator>Administrator</dc:creator>
  <cp:lastModifiedBy>亦湛蓝</cp:lastModifiedBy>
  <dcterms:modified xsi:type="dcterms:W3CDTF">2022-08-24T07:37:35Z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D9C6095C7C254694A2FE9C10A6E4E952</vt:lpwstr>
  </property>
</Properties>
</file>