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应急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管理局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年度项目支出绩效评价报告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根据《南县财政局关于做好202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年度预算绩效自评工作的通知》（南财绩函[202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]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号）精神，为进一步规范财政资金管理，牢固树立预算绩效理念，切实提高财政资金使用效率，南县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应急管理局</w:t>
      </w:r>
      <w:r>
        <w:rPr>
          <w:rFonts w:hint="eastAsia" w:ascii="仿宋_GB2312" w:hAnsi="仿宋_GB2312" w:eastAsia="仿宋_GB2312" w:cs="仿宋_GB2312"/>
          <w:sz w:val="28"/>
          <w:szCs w:val="28"/>
        </w:rPr>
        <w:t>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28"/>
          <w:szCs w:val="28"/>
        </w:rPr>
        <w:t>对项目支出绩效评价工作进行了认真的研究和部署，并以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政工室</w:t>
      </w:r>
      <w:r>
        <w:rPr>
          <w:rFonts w:hint="eastAsia" w:ascii="仿宋_GB2312" w:hAnsi="仿宋_GB2312" w:eastAsia="仿宋_GB2312" w:cs="仿宋_GB2312"/>
          <w:sz w:val="28"/>
          <w:szCs w:val="28"/>
        </w:rPr>
        <w:t>牵头组织进行预算资金绩效自评，现将有关情况报告如下:</w:t>
      </w:r>
    </w:p>
    <w:p>
      <w:pPr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一、项目基本情况</w:t>
      </w:r>
    </w:p>
    <w:p>
      <w:pPr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（一）项目基本情况简介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南县应急管理局2021年参与绩效评价的项目共6个，项目支出91万元。其中：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1、防汛抗旱专项经费40万元。主要用于防汛抗旱期间上级领导视察、督查接待，防汛期间工作人员值班值守、工作用餐和防汛抗旱易耗物质的购置等。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2、安全生产隐患治理专项经费8万元。主要用于全县安全生产隐患排查治理和隐患核查等。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3、防灾减灾专项经费10万元。主要用于在全县范围内开展防灾减灾知识宣传、灾情的勘察与救灾物资的准备。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4、森林防火指挥部办公室工作经费5万元。主要用于森林防火指挥部办公室的日常工作和上级领导视察、督查的接待工作。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5、立项争资工作经费8万元。主要用于单位立项争资发生的各项费用。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6、自然灾害救助工作经费20万元。主要用于自然灾害的勘察、信息收集、救灾物资的准备及上级领导视察、督查得接待工作。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（二）绩效目标设定及指标完成情况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年度我局坚决履行职能职责，有效完成了本年度绩效目标。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提高经济效益，节约成本，创造社会效益，全面推动全县安全生产形势持续稳定向好。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二、绩效评价工作情况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（一）绩效评价目的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通过绩效评价全面分析该项目资金使用、管理和项目实施情况，进一步规范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应急管理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专项经费使用、管理制度，强化财政资金支出绩效理念，切实提高财政资金使用效益。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（二）项目资金安排落实、总投入等情况分析，项目资金实际使用等情况分析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年县本级预算安排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应急管理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专项资金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91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万元，由县本级财政全额拨款。该项目实际使用资金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91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万元，资金使用率为100%。资金由财政局一次下达项目预算指标通知，我局再根据项目实施进度向县财政申请拨付。202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年项目资金已全部下拨并使用，下拨率和使用率100%。</w:t>
      </w:r>
    </w:p>
    <w:p>
      <w:pPr>
        <w:numPr>
          <w:ilvl w:val="0"/>
          <w:numId w:val="0"/>
        </w:numPr>
        <w:ind w:firstLine="281" w:firstLineChars="1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（三）项目组织情况分析</w:t>
      </w:r>
    </w:p>
    <w:p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立了绩效评价小组，对有关文件进行了科学分析研究，制定了绩效评价工作方案。评价小组采用查阅凭证和资料、审计等形式进行考评。根据考评情况，对收集的资料进行整理、汇总分析，并依据前期制定的绩效评价指标体系进行了评分，形成综合报告。</w:t>
      </w:r>
    </w:p>
    <w:p>
      <w:pPr>
        <w:numPr>
          <w:ilvl w:val="0"/>
          <w:numId w:val="0"/>
        </w:numPr>
        <w:ind w:leftChars="0" w:firstLine="562" w:firstLineChars="20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项目管理情况分析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为进一步规范财政资金管理，强化财政资金支出绩效理念，切实提高财政资金使用效益，要求专项资金实行“专人管理、专户储存、专账核算、专项使用”的原则，由单位财务统一核算，专人负责资金及管理经费的支出审核与监管，提高财政资金使用效益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三、项目绩效情况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hAnsi="仿宋_GB2312" w:cs="仿宋_GB2312"/>
          <w:b/>
          <w:bCs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项目绩效评价工作开展情况。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我局项目绩效评价选用的指标主要包括预算执行情况、财务管理状况以及社会效益等。采取单位绩效评价自评方式、运用成本效益法进行项目绩效评价。项目按照绩效目标的实施内容及工作要求实施完毕，执行情况较好，达到了预期绩效目标。根据项目自检自评，结合202</w:t>
      </w:r>
      <w:r>
        <w:rPr>
          <w:rFonts w:hint="eastAsia" w:hAnsi="仿宋_GB2312" w:cs="仿宋_GB2312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年项目支出绩效自评指标计分表打分，总得分为</w:t>
      </w:r>
      <w:r>
        <w:rPr>
          <w:rFonts w:hint="eastAsia" w:hAnsi="仿宋_GB2312" w:cs="仿宋_GB2312"/>
          <w:kern w:val="2"/>
          <w:sz w:val="28"/>
          <w:szCs w:val="28"/>
          <w:lang w:val="en-US" w:eastAsia="zh-CN" w:bidi="ar-SA"/>
        </w:rPr>
        <w:t>88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分，绩效评价为“</w:t>
      </w:r>
      <w:r>
        <w:rPr>
          <w:rFonts w:hint="eastAsia" w:hAnsi="仿宋_GB2312" w:cs="仿宋_GB2312"/>
          <w:kern w:val="2"/>
          <w:sz w:val="28"/>
          <w:szCs w:val="28"/>
          <w:lang w:val="en-US" w:eastAsia="zh-CN" w:bidi="ar-SA"/>
        </w:rPr>
        <w:t>优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”。</w:t>
      </w:r>
    </w:p>
    <w:p>
      <w:pPr>
        <w:numPr>
          <w:ilvl w:val="0"/>
          <w:numId w:val="0"/>
        </w:numPr>
        <w:ind w:left="640" w:leftChars="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（二）项目绩效目标完成情况。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（1）重点领域安全生产监管工作扎实推进。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我县秉持“全覆盖、零容忍、严执法、重实效”要求，各级各部门按照“属地管理”和“三个必须”的原则，组织人员开展隐患排查整治。全县共排查隐患2870处（其中重大隐患40处），已整改2695处（其中重大隐患32处），检查单位5123家，责令停产整顿29家，行政罚款473.683万元，约谈警示170家。特别是关停赤沙影城、V8酒吧，进行彻底改造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严厉打击安全生产非法违法行为，从根本上消除事故隐患，对情节恶劣、屡禁不止、可能导致较大事故的非法违法行为重拳出击，铁腕执法，依法严惩，确保实现“三坚决两确保”的年度总目标。我县“打非治违”立案调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215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起，经济处罚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188.2433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万元，责令停产整顿10起，取缔关闭1处，行刑衔接移送司法2人。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（2）安全生产宣传教育活动积极开展。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一是今年5月12日是我国第13个全国防灾减灾日，我局以“防范化解灾害风险，筑牢安全发展基础”为主题，认真扎实地开展了防灾减灾科普宣传活动。二是</w:t>
      </w:r>
      <w:r>
        <w:rPr>
          <w:rFonts w:hint="eastAsia" w:ascii="仿宋_GB2312" w:hAnsi="微软雅黑"/>
          <w:color w:val="000000"/>
          <w:sz w:val="28"/>
          <w:szCs w:val="28"/>
          <w:lang w:val="en-US" w:eastAsia="zh-CN"/>
        </w:rPr>
        <w:t>紧紧围绕第20个“安全生产月”活动主题（落实安全责任，推动安全发展），扎实有效地开展了内容丰富、形式多样、注重实效的安全生产宣传教育月活动。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（3）坚持防救并重，全力防灾减灾救灾。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一是</w:t>
      </w:r>
      <w:r>
        <w:rPr>
          <w:rFonts w:hint="eastAsia"/>
          <w:b/>
          <w:bCs/>
          <w:sz w:val="28"/>
          <w:szCs w:val="28"/>
          <w:lang w:val="en-US" w:eastAsia="zh-CN"/>
        </w:rPr>
        <w:t>落实落细防灾减灾综合治理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。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健全森林火灾、地质灾害逐月报送和森林防灭火值班值守制度，完善灾害响应机制和灾险预警制度，编制修订森林防灭火专项应急预案。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二是排查隐患。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结合灾害预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警信息，联合水利、林业、交运、自然资源等部门对重点防范的在建工程、交通干线、山塘水库、临坡建房进行巡查，做好隐患点涉险群众的转移避险。另外，重点节假日期间开展野外火源治理，从源头上防范化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解森林草原火灾重大风险。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三是完善应急物资储备。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年初，通过政府采购方式采购了帐篷、防潮垫、救生衣、棉被等专业救援设备和应急物资储备300万元，补充防汛砂石75万元。</w:t>
      </w:r>
    </w:p>
    <w:p>
      <w:pPr>
        <w:pStyle w:val="2"/>
        <w:ind w:firstLine="562" w:firstLineChars="200"/>
        <w:rPr>
          <w:rFonts w:hint="default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（4）提升自然灾害防治能力，聚焦三项重点工程建设。</w:t>
      </w:r>
    </w:p>
    <w:p>
      <w:pPr>
        <w:pStyle w:val="2"/>
        <w:numPr>
          <w:ilvl w:val="0"/>
          <w:numId w:val="0"/>
        </w:numPr>
        <w:ind w:firstLine="281" w:firstLineChars="10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一是实施自然灾害综合风险普查工程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。成立自然灾害综合风险普查办，明确专人专班，统筹协调各项工作，制定方案细则，保障工作经费，提供技术支撑。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二是实施地震易发区房屋设施加固工程。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成立地震易发区房屋设施加固工程协调工作组，编制了加固工程工作清单。完成了武圣宫镇初级中学和麻河口方谷学校2个应急避难场所改造项目的前期摸排选址、立项申报、初步设计、财政评审和招标挂网工作，两个项目都已开工建设。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三是实施地质灾害监测预警信息化工程。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为建立健全灾害风险数据库，完善地质灾害监测站网建设，积极普及全省灾情管理系统，明确了15名一般管理员、12名乡镇应急责任人和452名村级灾害信息员，实现了县、乡镇、村三级全覆盖和手机APP网络化报灾，第一时间掌握灾害风险隐患现场信息以辅助决策。</w:t>
      </w:r>
    </w:p>
    <w:p>
      <w:pPr>
        <w:pStyle w:val="2"/>
        <w:numPr>
          <w:ilvl w:val="0"/>
          <w:numId w:val="0"/>
        </w:numPr>
        <w:ind w:firstLine="281" w:firstLineChars="100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（5）夯实基层基础，推进乡镇应急能力建设。</w:t>
      </w:r>
    </w:p>
    <w:p>
      <w:pPr>
        <w:pStyle w:val="2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一是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对2020年已完成省、市验收合格的3个乡镇进行奖补，奖补资金51万元已全部下拨到位。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二是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在4个市安委会成员单位对口帮扶我县2个乡镇的基础上，我县确定60个县直单位及驻南单位对应急能力建设的乡镇进行帮扶，帮扶资金及物资达50万元。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rPr>
          <w:rFonts w:hint="default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我局202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年在项目决策上合理，实施过程中领导重视，管理较规范，较好的达到了预期的绩效目标，但有些方面仍有不足，主要是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专项资金指标下达时间和资金应该拨付时间存在时间差，需要动用基本支出资金才能保证项目资金按时按量拨付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从而做不到专款专用。</w:t>
      </w:r>
    </w:p>
    <w:p>
      <w:pPr>
        <w:pStyle w:val="2"/>
        <w:ind w:firstLine="562" w:firstLineChars="200"/>
        <w:rPr>
          <w:rFonts w:hint="eastAsia" w:hAnsi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hAnsi="仿宋_GB2312" w:cs="仿宋_GB2312"/>
          <w:b/>
          <w:bCs/>
          <w:sz w:val="28"/>
          <w:szCs w:val="28"/>
          <w:lang w:val="en-US" w:eastAsia="zh-CN"/>
        </w:rPr>
        <w:t>五、相关建议</w:t>
      </w:r>
    </w:p>
    <w:p>
      <w:pPr>
        <w:pStyle w:val="2"/>
        <w:ind w:firstLine="560" w:firstLineChars="200"/>
        <w:rPr>
          <w:rFonts w:hint="eastAsia" w:hAnsi="仿宋_GB2312" w:cs="仿宋_GB2312"/>
          <w:sz w:val="28"/>
          <w:szCs w:val="28"/>
          <w:lang w:val="en-US" w:eastAsia="zh-CN"/>
        </w:rPr>
      </w:pPr>
      <w:r>
        <w:rPr>
          <w:rFonts w:hint="eastAsia" w:hAnsi="仿宋_GB2312" w:cs="仿宋_GB2312"/>
          <w:sz w:val="28"/>
          <w:szCs w:val="28"/>
          <w:lang w:val="en-US" w:eastAsia="zh-CN"/>
        </w:rPr>
        <w:t>建议财政部门多组织项目资金绩效评价的专业知识讲座和培训，让大家深入学习与绩效评价相关知识。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 w:eastAsia="仿宋_GB2312"/>
          <w:lang w:val="en-US" w:eastAsia="zh-CN"/>
        </w:rPr>
      </w:pPr>
    </w:p>
    <w:p>
      <w:pPr>
        <w:pStyle w:val="2"/>
        <w:rPr>
          <w:rFonts w:hint="default" w:eastAsia="仿宋_GB2312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1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8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33748"/>
    <w:rsid w:val="07AF406D"/>
    <w:rsid w:val="0C9670E0"/>
    <w:rsid w:val="0F9614B6"/>
    <w:rsid w:val="1F1B451E"/>
    <w:rsid w:val="210049FC"/>
    <w:rsid w:val="2A5F3779"/>
    <w:rsid w:val="2C5A5B92"/>
    <w:rsid w:val="2CC27E8B"/>
    <w:rsid w:val="33C94BA0"/>
    <w:rsid w:val="343770F3"/>
    <w:rsid w:val="3BE069D2"/>
    <w:rsid w:val="4A0127F5"/>
    <w:rsid w:val="4C133748"/>
    <w:rsid w:val="4F4C033D"/>
    <w:rsid w:val="521E1498"/>
    <w:rsid w:val="52364BC9"/>
    <w:rsid w:val="5AD25733"/>
    <w:rsid w:val="5EF4077E"/>
    <w:rsid w:val="72240277"/>
    <w:rsid w:val="7C11549D"/>
    <w:rsid w:val="7EA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仿宋_GB2312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2021-03-23T07:17:00Z</dcterms:created>
  <dc:creator>Administrator</dc:creator>
  <cp:lastModifiedBy>回忆、</cp:lastModifiedBy>
  <cp:lastPrinted>2022-03-21T02:28:00Z</cp:lastPrinted>
  <dcterms:modified xsi:type="dcterms:W3CDTF">2022-03-22T01:22:15Z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379A8151D3E24DF1837727D7DAB2B0CB</vt:lpwstr>
  </property>
</Properties>
</file>