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700" w:lineRule="exact"/>
        <w:jc w:val="center"/>
        <w:rPr>
          <w:rFonts w:ascii="Times New Roman" w:hAnsi="Times New Roman"/>
          <w:bCs/>
          <w:sz w:val="36"/>
          <w:szCs w:val="36"/>
        </w:rPr>
      </w:pPr>
      <w:r>
        <w:rPr>
          <w:rFonts w:hint="eastAsia" w:ascii="Times New Roman" w:hAnsi="Times New Roman"/>
          <w:bCs/>
          <w:sz w:val="36"/>
          <w:szCs w:val="36"/>
        </w:rPr>
        <w:t>南县医疗保障局</w:t>
      </w:r>
    </w:p>
    <w:p>
      <w:pPr>
        <w:spacing w:line="700" w:lineRule="exact"/>
        <w:jc w:val="center"/>
        <w:rPr>
          <w:rFonts w:ascii="Times New Roman" w:hAnsi="Times New Roman"/>
          <w:sz w:val="24"/>
        </w:rPr>
      </w:pPr>
      <w:r>
        <w:rPr>
          <w:rFonts w:ascii="Times New Roman" w:hAnsi="Times New Roman"/>
          <w:bCs/>
          <w:sz w:val="36"/>
          <w:szCs w:val="36"/>
        </w:rPr>
        <w:t xml:space="preserve">   </w:t>
      </w: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w:t>
      </w:r>
      <w:r>
        <w:rPr>
          <w:rFonts w:hint="eastAsia" w:ascii="Times New Roman" w:hAnsi="Times New Roman" w:eastAsia="宋体" w:cs="Times New Roman"/>
          <w:sz w:val="36"/>
          <w:szCs w:val="36"/>
        </w:rPr>
        <w:t>基金监督与管理专项资金</w:t>
      </w:r>
      <w:r>
        <w:rPr>
          <w:rFonts w:ascii="Times New Roman" w:hAnsi="Times New Roman"/>
          <w:bCs/>
          <w:sz w:val="36"/>
          <w:szCs w:val="36"/>
        </w:rPr>
        <w:t xml:space="preserve">绩效评价报告    </w:t>
      </w:r>
      <w:r>
        <w:rPr>
          <w:rFonts w:ascii="Times New Roman" w:hAnsi="Times New Roman"/>
          <w:bCs/>
          <w:sz w:val="32"/>
          <w:szCs w:val="32"/>
        </w:rPr>
        <w:t xml:space="preserve">     </w:t>
      </w:r>
      <w:r>
        <w:rPr>
          <w:rFonts w:ascii="Times New Roman" w:hAnsi="Times New Roman"/>
          <w:sz w:val="24"/>
        </w:rPr>
        <w:t xml:space="preserve">                 </w:t>
      </w:r>
    </w:p>
    <w:p>
      <w:pPr>
        <w:spacing w:line="700" w:lineRule="exact"/>
        <w:jc w:val="center"/>
        <w:rPr>
          <w:rFonts w:ascii="Times New Roman" w:hAnsi="Times New Roman"/>
          <w:b/>
          <w:sz w:val="36"/>
          <w:szCs w:val="36"/>
        </w:rPr>
      </w:pP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67</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p>
    <w:p>
      <w:pPr>
        <w:pStyle w:val="10"/>
        <w:pBdr>
          <w:bottom w:val="none" w:color="auto" w:sz="0" w:space="0"/>
        </w:pBdr>
        <w:tabs>
          <w:tab w:val="left" w:pos="240"/>
          <w:tab w:val="left" w:pos="6960"/>
          <w:tab w:val="clear" w:pos="8306"/>
        </w:tabs>
        <w:jc w:val="both"/>
        <w:outlineLvl w:val="0"/>
        <w:rPr>
          <w:rFonts w:eastAsia="隶书"/>
          <w:spacing w:val="20"/>
          <w:sz w:val="28"/>
        </w:rPr>
      </w:pPr>
      <w:r>
        <w:rPr>
          <w:rFonts w:eastAsia="隶书"/>
          <w:spacing w:val="20"/>
          <w:sz w:val="28"/>
        </w:rPr>
        <w:t>中勤万信会计师事务所(特殊普通合伙)湖南分所</w:t>
      </w:r>
    </w:p>
    <w:p>
      <w:pPr>
        <w:pStyle w:val="10"/>
        <w:pBdr>
          <w:bottom w:val="none" w:color="auto" w:sz="0" w:space="0"/>
        </w:pBdr>
        <w:tabs>
          <w:tab w:val="left" w:pos="240"/>
          <w:tab w:val="left" w:pos="6960"/>
          <w:tab w:val="clear" w:pos="8306"/>
        </w:tabs>
        <w:jc w:val="both"/>
        <w:outlineLvl w:val="0"/>
      </w:pPr>
      <w:r>
        <w:t>地址：长沙市天心区芙蓉中路三段</w:t>
      </w:r>
      <w:r>
        <w:rPr>
          <w:rFonts w:hint="eastAsia"/>
        </w:rPr>
        <w:t>266号弘林大厦707</w:t>
      </w:r>
      <w:r>
        <w:t>房</w:t>
      </w:r>
    </w:p>
    <w:p>
      <w:pPr>
        <w:pStyle w:val="10"/>
        <w:pBdr>
          <w:bottom w:val="none" w:color="auto" w:sz="0" w:space="0"/>
        </w:pBdr>
        <w:tabs>
          <w:tab w:val="left" w:pos="240"/>
          <w:tab w:val="left" w:pos="6960"/>
          <w:tab w:val="clear" w:pos="8306"/>
        </w:tabs>
        <w:jc w:val="both"/>
      </w:pPr>
      <w:r>
        <w:t>电话：0731-82561635</w:t>
      </w:r>
    </w:p>
    <w:p>
      <w:pPr>
        <w:pStyle w:val="10"/>
        <w:pBdr>
          <w:bottom w:val="none" w:color="auto" w:sz="0" w:space="0"/>
        </w:pBdr>
        <w:tabs>
          <w:tab w:val="left" w:pos="240"/>
          <w:tab w:val="left" w:pos="6960"/>
          <w:tab w:val="clear" w:pos="8306"/>
        </w:tabs>
        <w:jc w:val="both"/>
      </w:pPr>
      <w:r>
        <w:t>传真：0731-82561635-8001</w:t>
      </w:r>
    </w:p>
    <w:p>
      <w:pPr>
        <w:pStyle w:val="10"/>
        <w:pBdr>
          <w:bottom w:val="none" w:color="auto" w:sz="0" w:space="0"/>
        </w:pBdr>
        <w:jc w:val="both"/>
      </w:pPr>
      <w:r>
        <w:t>邮编：410002</w:t>
      </w:r>
    </w:p>
    <w:p>
      <w:pPr>
        <w:jc w:val="center"/>
        <w:rPr>
          <w:rStyle w:val="18"/>
          <w:rFonts w:ascii="仿宋" w:hAnsi="仿宋" w:eastAsia="仿宋" w:cs="仿宋"/>
          <w:i/>
          <w:sz w:val="32"/>
          <w:szCs w:val="32"/>
        </w:rPr>
      </w:pPr>
      <w:r>
        <w:rPr>
          <w:rFonts w:ascii="仿宋" w:hAnsi="仿宋" w:eastAsia="仿宋" w:cs="仿宋"/>
          <w:i/>
        </w:rPr>
        <w:pict>
          <v:line id="直接连接符 1" o:spid="_x0000_s1026" o:spt="20" style="position:absolute;left:0pt;flip:y;margin-left:-0.05pt;margin-top:3.45pt;height:0pt;width:174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">
            <v:path arrowok="t"/>
            <v:fill focussize="0,0"/>
            <v:stroke/>
            <v:imagedata o:title=""/>
            <o:lock v:ext="edit"/>
          </v:line>
        </w:pic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南县医疗保障局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年基金监督与管理专项资金绩效评价报告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8"/>
          <w:szCs w:val="28"/>
          <w:shd w:val="clear" w:color="auto" w:fill="FFFFFF"/>
        </w:rPr>
        <w:t>勤信湘专字【2021】第00</w:t>
      </w:r>
      <w:r>
        <w:rPr>
          <w:rFonts w:hint="eastAsia" w:ascii="Times New Roman" w:hAnsi="Times New Roman" w:eastAsia="宋体" w:cs="Times New Roman"/>
          <w:sz w:val="28"/>
          <w:szCs w:val="28"/>
          <w:shd w:val="clear" w:color="auto" w:fill="FFFFFF"/>
          <w:lang w:val="en-US" w:eastAsia="zh-CN"/>
        </w:rPr>
        <w:t>67</w:t>
      </w:r>
      <w:r>
        <w:rPr>
          <w:rFonts w:hint="eastAsia" w:ascii="Times New Roman" w:hAnsi="Times New Roman" w:eastAsia="宋体" w:cs="Times New Roman"/>
          <w:sz w:val="28"/>
          <w:szCs w:val="28"/>
          <w:shd w:val="clear" w:color="auto" w:fill="FFFFFF"/>
        </w:rPr>
        <w:t>号</w:t>
      </w:r>
    </w:p>
    <w:p>
      <w:pPr>
        <w:spacing w:line="580" w:lineRule="exact"/>
        <w:ind w:firstLine="640" w:firstLineChars="200"/>
        <w:jc w:val="left"/>
        <w:rPr>
          <w:rFonts w:ascii="仿宋" w:hAnsi="仿宋" w:eastAsia="仿宋" w:cs="仿宋"/>
          <w:sz w:val="32"/>
          <w:szCs w:val="32"/>
        </w:rPr>
      </w:pPr>
      <w:r>
        <w:rPr>
          <w:rFonts w:hint="eastAsia" w:ascii="Times New Roman" w:hAnsi="Times New Roman" w:eastAsia="仿宋" w:cs="Times New Roman"/>
          <w:sz w:val="32"/>
          <w:szCs w:val="32"/>
          <w:shd w:val="clear" w:color="auto" w:fill="FFFFFF"/>
        </w:rPr>
        <w:t>根据南县财政局《关于对2020年度专项资金开展重点绩效评价工作的通知》（南财绩函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有关要求，受南县财政局委托，中勤万信会计师事务所湖南分所</w:t>
      </w:r>
      <w:r>
        <w:rPr>
          <w:rFonts w:hint="eastAsia" w:ascii="Times New Roman" w:hAnsi="Times New Roman" w:eastAsia="仿宋"/>
          <w:sz w:val="32"/>
          <w:szCs w:val="32"/>
          <w:shd w:val="clear" w:color="auto" w:fill="FFFFFF"/>
        </w:rPr>
        <w:t>组建绩效评价组，</w:t>
      </w:r>
      <w:r>
        <w:rPr>
          <w:rFonts w:hint="eastAsia" w:ascii="仿宋" w:hAnsi="仿宋" w:eastAsia="仿宋" w:cs="仿宋"/>
          <w:sz w:val="32"/>
          <w:szCs w:val="32"/>
        </w:rPr>
        <w:t>于2021年5月17日至5月27日对2020</w:t>
      </w:r>
      <w:r>
        <w:rPr>
          <w:rFonts w:ascii="仿宋" w:hAnsi="仿宋" w:eastAsia="仿宋" w:cs="仿宋"/>
          <w:sz w:val="32"/>
          <w:szCs w:val="32"/>
        </w:rPr>
        <w:t>年基金监督与管理专项资金</w:t>
      </w:r>
      <w:r>
        <w:rPr>
          <w:rFonts w:hint="eastAsia" w:ascii="仿宋" w:hAnsi="仿宋" w:eastAsia="仿宋" w:cs="仿宋"/>
          <w:sz w:val="32"/>
          <w:szCs w:val="32"/>
        </w:rPr>
        <w:t>实施了绩效评价</w:t>
      </w:r>
      <w:r>
        <w:rPr>
          <w:rFonts w:ascii="Times New Roman" w:hAnsi="Times New Roman" w:eastAsia="仿宋"/>
          <w:sz w:val="32"/>
          <w:szCs w:val="32"/>
          <w:shd w:val="clear" w:color="auto" w:fill="FFFFFF"/>
        </w:rPr>
        <w:t>，根据评价结果，形成本评价报告。</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(一)项目绩效内容</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以习近平新时代中国特色社会主义思想为指导，认真贯彻落实党中央、国务院的决策部署和省、市局监管工作整体思路，切实提高医疗保障基金治理水平和治理能力，持续保持打击欺诈骗保的高压态势，注重“点面结合，精准打击；抓住典型，发挥效果；规范风险，完善内控”，全面完善长效监管机制，压实监管责任，定点医药机构日常稽核覆盖率100%，违法违规行为查处率100%，全面保障基金安全，严厉打击违法犯罪，确保医保基金高效安全运行，不断增强人民群众的获得感、安全感和幸福感</w:t>
      </w:r>
      <w:r>
        <w:rPr>
          <w:rFonts w:ascii="仿宋" w:hAnsi="仿宋" w:eastAsia="仿宋" w:cs="仿宋"/>
          <w:sz w:val="32"/>
          <w:szCs w:val="32"/>
        </w:rPr>
        <w:t>。</w:t>
      </w:r>
      <w:r>
        <w:rPr>
          <w:rFonts w:hint="eastAsia" w:ascii="仿宋" w:hAnsi="仿宋" w:eastAsia="仿宋" w:cs="仿宋"/>
          <w:sz w:val="32"/>
          <w:szCs w:val="32"/>
        </w:rPr>
        <w:t>县财政设立了</w:t>
      </w:r>
      <w:r>
        <w:rPr>
          <w:rFonts w:ascii="仿宋" w:hAnsi="仿宋" w:eastAsia="仿宋" w:cs="仿宋"/>
          <w:sz w:val="32"/>
          <w:szCs w:val="32"/>
        </w:rPr>
        <w:t>基金监督与管理专项资金</w:t>
      </w:r>
      <w:r>
        <w:rPr>
          <w:rFonts w:hint="eastAsia" w:ascii="仿宋" w:hAnsi="仿宋" w:eastAsia="仿宋" w:cs="仿宋"/>
          <w:sz w:val="32"/>
          <w:szCs w:val="32"/>
        </w:rPr>
        <w:t>项目。</w:t>
      </w:r>
    </w:p>
    <w:p>
      <w:pPr>
        <w:spacing w:line="600" w:lineRule="exact"/>
        <w:ind w:firstLine="640" w:firstLineChars="200"/>
        <w:rPr>
          <w:rFonts w:ascii="Times New Roman" w:hAnsi="Times New Roman" w:eastAsia="仿宋"/>
          <w:spacing w:val="6"/>
          <w:sz w:val="32"/>
          <w:szCs w:val="32"/>
        </w:rPr>
      </w:pPr>
      <w:r>
        <w:rPr>
          <w:rFonts w:ascii="Times New Roman" w:hAnsi="Times New Roman" w:eastAsia="仿宋"/>
          <w:sz w:val="32"/>
          <w:szCs w:val="32"/>
          <w:shd w:val="clear" w:color="auto" w:fill="FFFFFF"/>
        </w:rPr>
        <w:t>根据</w:t>
      </w:r>
      <w:r>
        <w:rPr>
          <w:rFonts w:hint="eastAsia" w:ascii="Times New Roman" w:hAnsi="Times New Roman" w:eastAsia="仿宋"/>
          <w:sz w:val="32"/>
          <w:szCs w:val="32"/>
          <w:shd w:val="clear" w:color="auto" w:fill="FFFFFF"/>
        </w:rPr>
        <w:t>《中共中央 国务院关于全面实施预算绩效管理的意见》（中发〔2018〕34号）、《中共湖南省委办公厅、湖南省人民政府办公厅关于全面实施预算绩效管理的实施意见》（湘办发〔2019〕10号）</w:t>
      </w:r>
      <w:r>
        <w:rPr>
          <w:rFonts w:ascii="Times New Roman" w:hAnsi="Times New Roman" w:eastAsia="仿宋"/>
          <w:sz w:val="32"/>
          <w:szCs w:val="32"/>
          <w:shd w:val="clear" w:color="auto" w:fill="FFFFFF"/>
        </w:rPr>
        <w:t>中“</w:t>
      </w:r>
      <w:r>
        <w:rPr>
          <w:rFonts w:hint="eastAsia" w:ascii="Times New Roman" w:hAnsi="Times New Roman" w:eastAsia="仿宋"/>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hAnsi="Times New Roman" w:eastAsia="仿宋"/>
          <w:sz w:val="32"/>
          <w:szCs w:val="32"/>
          <w:shd w:val="clear" w:color="auto" w:fill="FFFFFF"/>
        </w:rPr>
        <w:t>”。将</w:t>
      </w:r>
      <w:r>
        <w:rPr>
          <w:rFonts w:hint="eastAsia" w:ascii="Times New Roman" w:hAnsi="Times New Roman" w:eastAsia="仿宋"/>
          <w:spacing w:val="6"/>
          <w:sz w:val="32"/>
          <w:szCs w:val="32"/>
        </w:rPr>
        <w:t>本级</w:t>
      </w:r>
      <w:r>
        <w:rPr>
          <w:rFonts w:ascii="Times New Roman" w:hAnsi="Times New Roman" w:eastAsia="仿宋"/>
          <w:spacing w:val="6"/>
          <w:sz w:val="32"/>
          <w:szCs w:val="32"/>
        </w:rPr>
        <w:t>预算安排用于</w:t>
      </w:r>
      <w:r>
        <w:rPr>
          <w:rFonts w:hint="eastAsia" w:ascii="仿宋" w:hAnsi="仿宋" w:eastAsia="仿宋" w:cs="仿宋"/>
          <w:sz w:val="32"/>
          <w:szCs w:val="32"/>
        </w:rPr>
        <w:t>2020</w:t>
      </w:r>
      <w:r>
        <w:rPr>
          <w:rFonts w:ascii="仿宋" w:hAnsi="仿宋" w:eastAsia="仿宋" w:cs="仿宋"/>
          <w:sz w:val="32"/>
          <w:szCs w:val="32"/>
        </w:rPr>
        <w:t>年基金监督与管理</w:t>
      </w:r>
      <w:r>
        <w:rPr>
          <w:rFonts w:hint="eastAsia" w:ascii="Times New Roman" w:hAnsi="Times New Roman" w:eastAsia="仿宋"/>
          <w:spacing w:val="6"/>
          <w:sz w:val="32"/>
          <w:szCs w:val="32"/>
        </w:rPr>
        <w:t>的280000</w:t>
      </w:r>
      <w:r>
        <w:rPr>
          <w:rFonts w:hint="eastAsia" w:ascii="仿宋" w:hAnsi="仿宋" w:eastAsia="仿宋" w:cs="仿宋"/>
          <w:sz w:val="32"/>
          <w:szCs w:val="32"/>
        </w:rPr>
        <w:t>元资金</w:t>
      </w:r>
      <w:r>
        <w:rPr>
          <w:rFonts w:ascii="仿宋" w:hAnsi="仿宋" w:eastAsia="仿宋" w:cs="仿宋"/>
          <w:sz w:val="32"/>
          <w:szCs w:val="32"/>
        </w:rPr>
        <w:t>纳</w:t>
      </w:r>
      <w:r>
        <w:rPr>
          <w:rFonts w:ascii="Times New Roman" w:hAnsi="Times New Roman" w:eastAsia="仿宋"/>
          <w:sz w:val="32"/>
          <w:szCs w:val="32"/>
          <w:shd w:val="clear" w:color="auto" w:fill="FFFFFF"/>
        </w:rPr>
        <w:t>入本次评价对象</w:t>
      </w:r>
      <w:r>
        <w:rPr>
          <w:rFonts w:ascii="Times New Roman" w:hAnsi="Times New Roman" w:eastAsia="仿宋"/>
          <w:spacing w:val="6"/>
          <w:sz w:val="32"/>
          <w:szCs w:val="32"/>
        </w:rPr>
        <w:t>。</w:t>
      </w:r>
    </w:p>
    <w:p>
      <w:pPr>
        <w:pStyle w:val="3"/>
        <w:spacing w:before="0" w:after="0" w:line="580" w:lineRule="exact"/>
        <w:ind w:firstLine="643" w:firstLineChars="200"/>
        <w:rPr>
          <w:rFonts w:ascii="仿宋" w:hAnsi="仿宋" w:eastAsia="仿宋" w:cs="仿宋"/>
        </w:rPr>
      </w:pPr>
      <w:r>
        <w:rPr>
          <w:rFonts w:ascii="仿宋" w:hAnsi="仿宋" w:eastAsia="仿宋" w:cs="仿宋"/>
        </w:rPr>
        <w:t>（二）项目绩效目标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本项</w:t>
      </w:r>
      <w:r>
        <w:rPr>
          <w:rFonts w:ascii="Times New Roman" w:hAnsi="Times New Roman" w:eastAsia="仿宋"/>
          <w:sz w:val="32"/>
          <w:szCs w:val="32"/>
          <w:shd w:val="clear" w:color="auto" w:fill="FFFFFF"/>
        </w:rPr>
        <w:t>目</w:t>
      </w:r>
      <w:r>
        <w:rPr>
          <w:rFonts w:hint="eastAsia" w:ascii="仿宋" w:hAnsi="仿宋" w:eastAsia="仿宋" w:cs="仿宋"/>
          <w:sz w:val="32"/>
          <w:szCs w:val="32"/>
        </w:rPr>
        <w:t>将监督县内156家协议医药机构、医保经办机构合理使用</w:t>
      </w:r>
      <w:r>
        <w:rPr>
          <w:rFonts w:hint="eastAsia" w:ascii="Times New Roman" w:hAnsi="Times New Roman" w:eastAsia="仿宋"/>
          <w:sz w:val="32"/>
          <w:szCs w:val="32"/>
          <w:shd w:val="clear" w:color="auto" w:fill="FFFFFF"/>
        </w:rPr>
        <w:t>医保基金</w:t>
      </w:r>
      <w:r>
        <w:rPr>
          <w:rFonts w:hint="eastAsia" w:ascii="仿宋" w:hAnsi="仿宋" w:eastAsia="仿宋" w:cs="仿宋"/>
          <w:sz w:val="32"/>
          <w:szCs w:val="32"/>
        </w:rPr>
        <w:t>，提高社会各界对协议医院机构、医保经办机构的监督积极性，保障全县602090名参保对象的合法权益，营造南县医疗保险基金使用的健康环境作为绩效目标。</w:t>
      </w:r>
    </w:p>
    <w:p>
      <w:pPr>
        <w:pStyle w:val="2"/>
        <w:spacing w:before="0" w:after="0" w:line="580" w:lineRule="exact"/>
        <w:ind w:firstLine="640" w:firstLineChars="200"/>
      </w:pPr>
      <w:r>
        <w:rPr>
          <w:rFonts w:hint="eastAsia"/>
        </w:rPr>
        <w:t>二、绩效评价工作情况</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(一)绩效评价目的</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通过对南县医疗保障局2020</w:t>
      </w:r>
      <w:r>
        <w:rPr>
          <w:rFonts w:ascii="仿宋" w:hAnsi="仿宋" w:eastAsia="仿宋" w:cs="仿宋"/>
          <w:sz w:val="32"/>
          <w:szCs w:val="32"/>
        </w:rPr>
        <w:t>年基金监督与管理专项资金</w:t>
      </w:r>
      <w:r>
        <w:rPr>
          <w:rFonts w:hint="eastAsia" w:ascii="仿宋" w:hAnsi="仿宋" w:eastAsia="仿宋" w:cs="仿宋"/>
          <w:sz w:val="32"/>
          <w:szCs w:val="32"/>
        </w:rPr>
        <w:t>的绩效评价，全面跟踪</w:t>
      </w:r>
      <w:r>
        <w:rPr>
          <w:rFonts w:ascii="仿宋" w:hAnsi="仿宋" w:eastAsia="仿宋" w:cs="仿宋"/>
          <w:sz w:val="32"/>
          <w:szCs w:val="32"/>
        </w:rPr>
        <w:t>基金监督与管理专项资金</w:t>
      </w:r>
      <w:r>
        <w:rPr>
          <w:rFonts w:hint="eastAsia" w:ascii="仿宋" w:hAnsi="仿宋" w:eastAsia="仿宋" w:cs="仿宋"/>
          <w:sz w:val="32"/>
          <w:szCs w:val="32"/>
        </w:rPr>
        <w:t>的来源、使用和管理情况；项目的申报、项目的审批、项目的组织实施及事后的考核情况；评价</w:t>
      </w:r>
      <w:r>
        <w:rPr>
          <w:rFonts w:ascii="仿宋" w:hAnsi="仿宋" w:eastAsia="仿宋" w:cs="仿宋"/>
          <w:sz w:val="32"/>
          <w:szCs w:val="32"/>
        </w:rPr>
        <w:t>基金监督与管理专项资金</w:t>
      </w:r>
      <w:r>
        <w:rPr>
          <w:rFonts w:hint="eastAsia" w:ascii="仿宋" w:hAnsi="仿宋" w:eastAsia="仿宋" w:cs="仿宋"/>
          <w:sz w:val="32"/>
          <w:szCs w:val="32"/>
        </w:rPr>
        <w:t>使用是否达到预期目标，资金使用是否有效益；总结经验，分析问题，强化</w:t>
      </w:r>
      <w:r>
        <w:rPr>
          <w:rFonts w:ascii="仿宋" w:hAnsi="仿宋" w:eastAsia="仿宋" w:cs="仿宋"/>
          <w:sz w:val="32"/>
          <w:szCs w:val="32"/>
        </w:rPr>
        <w:t>基金监督与管理专项资金</w:t>
      </w:r>
      <w:r>
        <w:rPr>
          <w:rFonts w:hint="eastAsia" w:ascii="仿宋" w:hAnsi="仿宋" w:eastAsia="仿宋" w:cs="仿宋"/>
          <w:sz w:val="32"/>
          <w:szCs w:val="32"/>
        </w:rPr>
        <w:t>的管理，为以后</w:t>
      </w:r>
      <w:r>
        <w:rPr>
          <w:rFonts w:ascii="仿宋" w:hAnsi="仿宋" w:eastAsia="仿宋" w:cs="仿宋"/>
          <w:sz w:val="32"/>
          <w:szCs w:val="32"/>
        </w:rPr>
        <w:t>基金监督与管理专项资金</w:t>
      </w:r>
      <w:r>
        <w:rPr>
          <w:rFonts w:hint="eastAsia" w:ascii="仿宋" w:hAnsi="仿宋" w:eastAsia="仿宋" w:cs="仿宋"/>
          <w:sz w:val="32"/>
          <w:szCs w:val="32"/>
        </w:rPr>
        <w:t xml:space="preserve">管理和预算安排提供参考依据。 </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eastAsia="仿宋_GB2312"/>
          <w:sz w:val="32"/>
          <w:szCs w:val="32"/>
        </w:rPr>
        <w:t>应当</w:t>
      </w:r>
      <w:r>
        <w:rPr>
          <w:rFonts w:hint="eastAsia" w:ascii="仿宋" w:hAnsi="仿宋" w:eastAsia="仿宋" w:cs="仿宋"/>
          <w:sz w:val="32"/>
          <w:szCs w:val="32"/>
        </w:rPr>
        <w:t>遵循</w:t>
      </w:r>
      <w:r>
        <w:rPr>
          <w:rFonts w:eastAsia="仿宋_GB2312"/>
          <w:sz w:val="32"/>
          <w:szCs w:val="32"/>
        </w:rPr>
        <w:t>科学公正</w:t>
      </w:r>
      <w:r>
        <w:rPr>
          <w:rFonts w:hint="eastAsia" w:ascii="仿宋" w:hAnsi="仿宋" w:eastAsia="仿宋" w:cs="仿宋"/>
          <w:sz w:val="32"/>
          <w:szCs w:val="32"/>
        </w:rPr>
        <w:t>、</w:t>
      </w:r>
      <w:r>
        <w:rPr>
          <w:rFonts w:eastAsia="仿宋_GB2312"/>
          <w:sz w:val="32"/>
          <w:szCs w:val="32"/>
        </w:rPr>
        <w:t>统筹兼顾</w:t>
      </w:r>
      <w:r>
        <w:rPr>
          <w:rFonts w:hint="eastAsia" w:ascii="仿宋" w:hAnsi="仿宋" w:eastAsia="仿宋" w:cs="仿宋"/>
          <w:sz w:val="32"/>
          <w:szCs w:val="32"/>
        </w:rPr>
        <w:t>、</w:t>
      </w:r>
      <w:r>
        <w:rPr>
          <w:rFonts w:eastAsia="仿宋_GB2312"/>
          <w:sz w:val="32"/>
          <w:szCs w:val="32"/>
        </w:rPr>
        <w:t>激励约束</w:t>
      </w:r>
      <w:r>
        <w:rPr>
          <w:rFonts w:hint="eastAsia" w:ascii="仿宋" w:hAnsi="仿宋" w:eastAsia="仿宋" w:cs="仿宋"/>
          <w:sz w:val="32"/>
          <w:szCs w:val="32"/>
        </w:rPr>
        <w:t>、</w:t>
      </w:r>
      <w:r>
        <w:rPr>
          <w:rFonts w:eastAsia="仿宋_GB2312"/>
          <w:sz w:val="32"/>
          <w:szCs w:val="32"/>
        </w:rPr>
        <w:t>公开透明基本原则</w:t>
      </w:r>
      <w:r>
        <w:rPr>
          <w:rFonts w:hint="eastAsia" w:ascii="仿宋" w:hAnsi="仿宋" w:eastAsia="仿宋" w:cs="仿宋"/>
          <w:sz w:val="32"/>
          <w:szCs w:val="32"/>
        </w:rPr>
        <w:t>。</w:t>
      </w:r>
      <w:bookmarkStart w:id="0" w:name="_Toc359779076"/>
      <w:bookmarkStart w:id="1" w:name="_Toc359778631"/>
      <w:bookmarkStart w:id="2" w:name="_Toc360205789"/>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bookmarkEnd w:id="0"/>
      <w:bookmarkEnd w:id="1"/>
      <w:bookmarkEnd w:id="2"/>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w:t>
      </w:r>
      <w:r>
        <w:rPr>
          <w:rFonts w:hint="eastAsia" w:ascii="Times New Roman" w:hAnsi="Times New Roman" w:eastAsia="仿宋" w:cs="Times New Roman"/>
          <w:sz w:val="32"/>
          <w:szCs w:val="32"/>
          <w:shd w:val="clear" w:color="auto" w:fill="FFFFFF"/>
        </w:rPr>
        <w:t>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文件中附表2《2020年项目支出绩效自评指标计分表》，按照相关性、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的原则，根据项目实施的具体情况对个性指标进行了调整细化</w:t>
      </w:r>
      <w:bookmarkStart w:id="3" w:name="_Toc360205790"/>
      <w:bookmarkStart w:id="4" w:name="_Toc359778632"/>
      <w:bookmarkStart w:id="5" w:name="_Toc359779077"/>
      <w:r>
        <w:rPr>
          <w:rFonts w:hint="eastAsia" w:ascii="仿宋" w:hAnsi="仿宋" w:eastAsia="仿宋" w:cs="仿宋"/>
          <w:sz w:val="32"/>
          <w:szCs w:val="32"/>
        </w:rPr>
        <w:t>，形成《2020</w:t>
      </w:r>
      <w:r>
        <w:rPr>
          <w:rFonts w:ascii="仿宋" w:hAnsi="仿宋" w:eastAsia="仿宋" w:cs="仿宋"/>
          <w:sz w:val="32"/>
          <w:szCs w:val="32"/>
        </w:rPr>
        <w:t>年基金监督与管理专项资金</w:t>
      </w:r>
      <w:r>
        <w:rPr>
          <w:rFonts w:hint="eastAsia" w:ascii="仿宋" w:hAnsi="仿宋" w:eastAsia="仿宋" w:cs="仿宋"/>
          <w:sz w:val="32"/>
          <w:szCs w:val="32"/>
        </w:rPr>
        <w:t>绩效评价指标评分表》（附件2）。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bookmarkEnd w:id="3"/>
      <w:bookmarkEnd w:id="4"/>
      <w:bookmarkEnd w:id="5"/>
    </w:p>
    <w:p>
      <w:pPr>
        <w:ind w:firstLine="640" w:firstLineChars="200"/>
        <w:rPr>
          <w:rFonts w:ascii="仿宋" w:hAnsi="仿宋" w:eastAsia="仿宋" w:cs="仿宋"/>
          <w:sz w:val="32"/>
          <w:szCs w:val="32"/>
        </w:rPr>
      </w:pPr>
      <w:r>
        <w:rPr>
          <w:rFonts w:hint="eastAsia" w:ascii="仿宋" w:hAnsi="仿宋" w:eastAsia="仿宋" w:cs="仿宋"/>
          <w:sz w:val="32"/>
          <w:szCs w:val="32"/>
        </w:rPr>
        <w:t>本次绩效评价方法坚持定性分析与定量分析、全面评价与综合分析、数据采集与现场核查相结合的方式，通过对实施部门实施情况与申报的绩效目标进行比较，评价项目实施绩效。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5月中下旬前往南县医疗保障局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，现场评价主要采取以下方式：一是召开座谈会，听取县医</w:t>
      </w:r>
      <w:r>
        <w:rPr>
          <w:rFonts w:hint="eastAsia" w:ascii="Times New Roman" w:hAnsi="Times New Roman" w:eastAsia="仿宋"/>
          <w:sz w:val="32"/>
          <w:szCs w:val="32"/>
        </w:rPr>
        <w:t>保局、</w:t>
      </w:r>
      <w:r>
        <w:rPr>
          <w:rFonts w:ascii="Times New Roman" w:hAnsi="Times New Roman" w:eastAsia="仿宋"/>
          <w:sz w:val="32"/>
          <w:szCs w:val="32"/>
        </w:rPr>
        <w:t>县财政</w:t>
      </w:r>
      <w:r>
        <w:rPr>
          <w:rFonts w:ascii="仿宋" w:hAnsi="仿宋" w:eastAsia="仿宋" w:cs="仿宋"/>
          <w:sz w:val="32"/>
          <w:szCs w:val="32"/>
        </w:rPr>
        <w:t>相关主管单位</w:t>
      </w:r>
      <w:r>
        <w:rPr>
          <w:rFonts w:ascii="Times New Roman" w:hAnsi="Times New Roman" w:eastAsia="仿宋"/>
          <w:sz w:val="32"/>
          <w:szCs w:val="32"/>
        </w:rPr>
        <w:t>有关资金使用管理及项目组织实施管理等方面的情况介绍，</w:t>
      </w:r>
      <w:r>
        <w:rPr>
          <w:rFonts w:ascii="仿宋" w:hAnsi="仿宋" w:eastAsia="仿宋" w:cs="仿宋"/>
          <w:sz w:val="32"/>
          <w:szCs w:val="32"/>
        </w:rPr>
        <w:t>了解项目申请、审批和资金使用情况、存在的主要问题及建议等。二是对项目单位填报的基础数据资料、提供的相关材料等进行核实。</w:t>
      </w:r>
    </w:p>
    <w:p>
      <w:pPr>
        <w:numPr>
          <w:ilvl w:val="0"/>
          <w:numId w:val="2"/>
        </w:numPr>
        <w:spacing w:line="580" w:lineRule="exact"/>
        <w:ind w:firstLine="629"/>
        <w:jc w:val="left"/>
        <w:outlineLvl w:val="2"/>
        <w:rPr>
          <w:rFonts w:ascii="仿宋" w:hAnsi="仿宋" w:eastAsia="仿宋" w:cs="仿宋"/>
          <w:b/>
          <w:bCs/>
          <w:sz w:val="32"/>
          <w:szCs w:val="32"/>
        </w:rPr>
      </w:pPr>
      <w:r>
        <w:rPr>
          <w:rFonts w:hint="eastAsia" w:ascii="仿宋" w:hAnsi="仿宋" w:eastAsia="仿宋" w:cs="仿宋"/>
          <w:b/>
          <w:bCs/>
          <w:sz w:val="32"/>
          <w:szCs w:val="32"/>
        </w:rPr>
        <w:t>绩效评价工作实施过程</w:t>
      </w:r>
    </w:p>
    <w:p>
      <w:pPr>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w:t>
      </w:r>
      <w:r>
        <w:rPr>
          <w:rFonts w:hint="eastAsia" w:ascii="Times New Roman" w:hAnsi="Times New Roman" w:eastAsia="仿宋"/>
          <w:sz w:val="32"/>
          <w:szCs w:val="32"/>
        </w:rPr>
        <w:t>资金使用情况</w:t>
      </w:r>
      <w:r>
        <w:rPr>
          <w:rFonts w:ascii="Times New Roman" w:hAnsi="Times New Roman" w:eastAsia="仿宋"/>
          <w:sz w:val="32"/>
          <w:szCs w:val="32"/>
        </w:rPr>
        <w:t>，查阅相关资料</w:t>
      </w:r>
      <w:r>
        <w:rPr>
          <w:rFonts w:hint="eastAsia" w:ascii="Times New Roman" w:hAnsi="Times New Roman" w:eastAsia="仿宋"/>
          <w:sz w:val="32"/>
          <w:szCs w:val="32"/>
        </w:rPr>
        <w:t>，</w:t>
      </w:r>
      <w:r>
        <w:rPr>
          <w:rFonts w:ascii="Times New Roman" w:hAnsi="Times New Roman" w:eastAsia="仿宋"/>
          <w:sz w:val="32"/>
          <w:szCs w:val="32"/>
        </w:rPr>
        <w:t>了解</w:t>
      </w:r>
      <w:r>
        <w:rPr>
          <w:rFonts w:ascii="仿宋" w:hAnsi="仿宋" w:eastAsia="仿宋" w:cs="仿宋"/>
          <w:sz w:val="32"/>
          <w:szCs w:val="32"/>
        </w:rPr>
        <w:t>基金监督与管理专项资金</w:t>
      </w:r>
      <w:r>
        <w:rPr>
          <w:rFonts w:ascii="Times New Roman" w:hAnsi="Times New Roman" w:eastAsia="仿宋"/>
          <w:sz w:val="32"/>
          <w:szCs w:val="32"/>
        </w:rPr>
        <w:t>所涉所有项目，并结合项目单位自评情况，进行统计分析，采用定量与定性相结合的方法，评价</w:t>
      </w:r>
      <w:r>
        <w:rPr>
          <w:rFonts w:ascii="仿宋" w:hAnsi="仿宋" w:eastAsia="仿宋" w:cs="仿宋"/>
          <w:sz w:val="32"/>
          <w:szCs w:val="32"/>
        </w:rPr>
        <w:t>专项资金</w:t>
      </w:r>
      <w:r>
        <w:rPr>
          <w:rFonts w:hint="eastAsia" w:ascii="Times New Roman" w:hAnsi="Times New Roman" w:eastAsia="仿宋"/>
          <w:sz w:val="32"/>
          <w:szCs w:val="32"/>
        </w:rPr>
        <w:t>使用</w:t>
      </w:r>
      <w:r>
        <w:rPr>
          <w:rFonts w:ascii="Times New Roman" w:hAnsi="Times New Roman" w:eastAsia="仿宋"/>
          <w:sz w:val="32"/>
          <w:szCs w:val="32"/>
        </w:rPr>
        <w:t>的绩效情况，再根据</w:t>
      </w:r>
      <w:r>
        <w:rPr>
          <w:rFonts w:ascii="仿宋" w:hAnsi="仿宋" w:eastAsia="仿宋" w:cs="仿宋"/>
          <w:sz w:val="32"/>
          <w:szCs w:val="32"/>
        </w:rPr>
        <w:t>专项资金</w:t>
      </w:r>
      <w:r>
        <w:rPr>
          <w:rFonts w:ascii="Times New Roman" w:hAnsi="Times New Roman" w:eastAsia="仿宋"/>
          <w:sz w:val="32"/>
          <w:szCs w:val="32"/>
        </w:rPr>
        <w:t>的</w:t>
      </w:r>
      <w:r>
        <w:rPr>
          <w:rFonts w:hint="eastAsia" w:ascii="Times New Roman" w:hAnsi="Times New Roman" w:eastAsia="仿宋"/>
          <w:sz w:val="32"/>
          <w:szCs w:val="32"/>
        </w:rPr>
        <w:t>支出情况</w:t>
      </w:r>
      <w:r>
        <w:rPr>
          <w:rFonts w:ascii="Times New Roman" w:hAnsi="Times New Roman" w:eastAsia="仿宋"/>
          <w:sz w:val="32"/>
          <w:szCs w:val="32"/>
        </w:rPr>
        <w:t>，形成最终的绩效结论。</w:t>
      </w:r>
    </w:p>
    <w:p>
      <w:pPr>
        <w:pStyle w:val="2"/>
        <w:spacing w:before="0" w:after="0" w:line="580" w:lineRule="exact"/>
        <w:ind w:firstLine="640" w:firstLineChars="200"/>
      </w:pPr>
      <w:r>
        <w:rPr>
          <w:rFonts w:hint="eastAsia"/>
        </w:rPr>
        <w:t>三、主要评价指标分析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（一）项目资金到位与使用情况</w:t>
      </w:r>
    </w:p>
    <w:p>
      <w:pPr>
        <w:ind w:firstLine="640" w:firstLineChars="200"/>
        <w:rPr>
          <w:rFonts w:eastAsia="仿宋_GB2312"/>
          <w:sz w:val="24"/>
        </w:rPr>
      </w:pPr>
      <w:r>
        <w:rPr>
          <w:rFonts w:hint="eastAsia" w:ascii="Times New Roman" w:hAnsi="Times New Roman" w:eastAsia="仿宋"/>
          <w:sz w:val="32"/>
          <w:szCs w:val="32"/>
        </w:rPr>
        <w:t>根据关于申请拨付南县医疗保障局专项资金的报告，</w:t>
      </w:r>
      <w:r>
        <w:rPr>
          <w:rFonts w:ascii="仿宋" w:hAnsi="仿宋" w:eastAsia="仿宋" w:cs="仿宋"/>
          <w:sz w:val="32"/>
          <w:szCs w:val="32"/>
        </w:rPr>
        <w:t>县级预算安排基金监督与管理专项资金是</w:t>
      </w:r>
      <w:r>
        <w:rPr>
          <w:rFonts w:hint="eastAsia" w:ascii="仿宋" w:hAnsi="仿宋" w:eastAsia="仿宋" w:cs="仿宋"/>
          <w:sz w:val="32"/>
          <w:szCs w:val="32"/>
        </w:rPr>
        <w:t>整合拨付，未与其他项目资金分开拨入。根据工作进度2020年</w:t>
      </w:r>
      <w:r>
        <w:rPr>
          <w:rFonts w:ascii="仿宋" w:hAnsi="仿宋" w:eastAsia="仿宋" w:cs="仿宋"/>
          <w:sz w:val="32"/>
          <w:szCs w:val="32"/>
        </w:rPr>
        <w:t>医保局分批收到</w:t>
      </w:r>
      <w:r>
        <w:rPr>
          <w:rFonts w:hint="eastAsia" w:ascii="仿宋" w:hAnsi="仿宋" w:eastAsia="仿宋" w:cs="仿宋"/>
          <w:sz w:val="32"/>
          <w:szCs w:val="32"/>
        </w:rPr>
        <w:t>县财政拨付专项商品和服务支出共计980000元，其中</w:t>
      </w:r>
      <w:r>
        <w:rPr>
          <w:rFonts w:ascii="仿宋" w:hAnsi="仿宋" w:eastAsia="仿宋" w:cs="仿宋"/>
          <w:sz w:val="32"/>
          <w:szCs w:val="32"/>
        </w:rPr>
        <w:t>基金监督与管理专项资金</w:t>
      </w:r>
      <w:r>
        <w:rPr>
          <w:rFonts w:hint="eastAsia" w:ascii="仿宋" w:hAnsi="仿宋" w:eastAsia="仿宋" w:cs="仿宋"/>
          <w:sz w:val="32"/>
          <w:szCs w:val="32"/>
        </w:rPr>
        <w:t>280000元</w:t>
      </w:r>
      <w:r>
        <w:rPr>
          <w:rFonts w:ascii="仿宋" w:hAnsi="仿宋" w:eastAsia="仿宋" w:cs="仿宋"/>
          <w:sz w:val="32"/>
          <w:szCs w:val="32"/>
        </w:rPr>
        <w:t>，资金到位率100.00%。</w:t>
      </w:r>
    </w:p>
    <w:p>
      <w:pPr>
        <w:ind w:firstLine="664" w:firstLineChars="200"/>
        <w:rPr>
          <w:rFonts w:ascii="Times New Roman" w:hAnsi="Times New Roman" w:eastAsia="仿宋"/>
          <w:sz w:val="32"/>
          <w:szCs w:val="32"/>
        </w:rPr>
      </w:pPr>
      <w:r>
        <w:rPr>
          <w:rFonts w:ascii="Times New Roman" w:hAnsi="Times New Roman" w:eastAsia="仿宋"/>
          <w:spacing w:val="6"/>
          <w:sz w:val="32"/>
          <w:szCs w:val="32"/>
        </w:rPr>
        <w:t>根据《</w:t>
      </w:r>
      <w:r>
        <w:rPr>
          <w:rFonts w:hint="eastAsia" w:ascii="Times New Roman" w:hAnsi="Times New Roman" w:eastAsia="仿宋"/>
          <w:sz w:val="32"/>
          <w:szCs w:val="32"/>
        </w:rPr>
        <w:t>2020年基金监督与管理专项资金</w:t>
      </w:r>
      <w:r>
        <w:rPr>
          <w:rFonts w:ascii="Times New Roman" w:hAnsi="Times New Roman" w:eastAsia="仿宋"/>
          <w:spacing w:val="6"/>
          <w:sz w:val="32"/>
          <w:szCs w:val="32"/>
        </w:rPr>
        <w:t>基础数据表》（附件</w:t>
      </w:r>
      <w:r>
        <w:rPr>
          <w:rFonts w:hint="eastAsia" w:ascii="Times New Roman" w:hAnsi="Times New Roman" w:eastAsia="仿宋"/>
          <w:spacing w:val="6"/>
          <w:sz w:val="32"/>
          <w:szCs w:val="32"/>
        </w:rPr>
        <w:t>1</w:t>
      </w:r>
      <w:r>
        <w:rPr>
          <w:rFonts w:ascii="Times New Roman" w:hAnsi="Times New Roman" w:eastAsia="仿宋"/>
          <w:spacing w:val="6"/>
          <w:sz w:val="32"/>
          <w:szCs w:val="32"/>
        </w:rPr>
        <w:t>），</w:t>
      </w:r>
      <w:r>
        <w:rPr>
          <w:rFonts w:ascii="Times New Roman" w:hAnsi="Times New Roman" w:eastAsia="仿宋"/>
          <w:sz w:val="32"/>
          <w:szCs w:val="32"/>
        </w:rPr>
        <w:t>截至20</w:t>
      </w:r>
      <w:r>
        <w:rPr>
          <w:rFonts w:hint="eastAsia" w:ascii="Times New Roman" w:hAnsi="Times New Roman" w:eastAsia="仿宋"/>
          <w:sz w:val="32"/>
          <w:szCs w:val="32"/>
        </w:rPr>
        <w:t>20</w:t>
      </w:r>
      <w:r>
        <w:rPr>
          <w:rFonts w:ascii="Times New Roman" w:hAnsi="Times New Roman" w:eastAsia="仿宋"/>
          <w:sz w:val="32"/>
          <w:szCs w:val="32"/>
        </w:rPr>
        <w:t>年</w:t>
      </w:r>
      <w:r>
        <w:rPr>
          <w:rFonts w:hint="eastAsia" w:ascii="Times New Roman" w:hAnsi="Times New Roman" w:eastAsia="仿宋"/>
          <w:sz w:val="32"/>
          <w:szCs w:val="32"/>
        </w:rPr>
        <w:t>12</w:t>
      </w:r>
      <w:r>
        <w:rPr>
          <w:rFonts w:ascii="Times New Roman" w:hAnsi="Times New Roman" w:eastAsia="仿宋"/>
          <w:sz w:val="32"/>
          <w:szCs w:val="32"/>
        </w:rPr>
        <w:t>月3</w:t>
      </w:r>
      <w:r>
        <w:rPr>
          <w:rFonts w:hint="eastAsia" w:ascii="Times New Roman" w:hAnsi="Times New Roman" w:eastAsia="仿宋"/>
          <w:sz w:val="32"/>
          <w:szCs w:val="32"/>
        </w:rPr>
        <w:t>1</w:t>
      </w:r>
      <w:r>
        <w:rPr>
          <w:rFonts w:ascii="Times New Roman" w:hAnsi="Times New Roman" w:eastAsia="仿宋"/>
          <w:sz w:val="32"/>
          <w:szCs w:val="32"/>
        </w:rPr>
        <w:t>日止，</w:t>
      </w:r>
      <w:r>
        <w:rPr>
          <w:rFonts w:hint="eastAsia" w:ascii="Times New Roman" w:hAnsi="Times New Roman" w:eastAsia="仿宋"/>
          <w:sz w:val="32"/>
          <w:szCs w:val="32"/>
        </w:rPr>
        <w:t>基金监督与管理专项资金实际支出</w:t>
      </w:r>
      <w:r>
        <w:rPr>
          <w:rFonts w:hint="eastAsia" w:ascii="Times New Roman" w:hAnsi="Times New Roman" w:eastAsia="仿宋"/>
          <w:sz w:val="32"/>
          <w:szCs w:val="32"/>
          <w:shd w:val="clear" w:color="auto" w:fill="FFFFFF"/>
        </w:rPr>
        <w:t>129265</w:t>
      </w:r>
      <w:r>
        <w:rPr>
          <w:rFonts w:ascii="Times New Roman" w:hAnsi="Times New Roman" w:eastAsia="仿宋"/>
          <w:sz w:val="32"/>
          <w:szCs w:val="32"/>
        </w:rPr>
        <w:t>元，执行率为</w:t>
      </w:r>
      <w:r>
        <w:rPr>
          <w:rFonts w:hint="eastAsia" w:ascii="Times New Roman" w:hAnsi="Times New Roman" w:eastAsia="仿宋"/>
          <w:sz w:val="32"/>
          <w:szCs w:val="32"/>
          <w:shd w:val="clear" w:color="auto" w:fill="FFFFFF"/>
        </w:rPr>
        <w:t>46</w:t>
      </w:r>
      <w:r>
        <w:rPr>
          <w:rFonts w:ascii="Times New Roman" w:hAnsi="Times New Roman" w:eastAsia="仿宋"/>
          <w:sz w:val="32"/>
          <w:szCs w:val="32"/>
        </w:rPr>
        <w:t>%。</w:t>
      </w:r>
      <w:r>
        <w:rPr>
          <w:rFonts w:hint="eastAsia" w:ascii="仿宋" w:hAnsi="仿宋" w:eastAsia="仿宋" w:cs="仿宋"/>
          <w:sz w:val="32"/>
          <w:szCs w:val="32"/>
        </w:rPr>
        <w:t>结余</w:t>
      </w:r>
      <w:r>
        <w:rPr>
          <w:rFonts w:hint="eastAsia" w:ascii="Times New Roman" w:hAnsi="Times New Roman" w:eastAsia="仿宋"/>
          <w:sz w:val="32"/>
          <w:szCs w:val="32"/>
          <w:shd w:val="clear" w:color="auto" w:fill="FFFFFF"/>
        </w:rPr>
        <w:t>150735元</w:t>
      </w:r>
      <w:r>
        <w:rPr>
          <w:rFonts w:ascii="仿宋" w:hAnsi="仿宋" w:eastAsia="仿宋" w:cs="仿宋"/>
          <w:sz w:val="32"/>
          <w:szCs w:val="32"/>
        </w:rPr>
        <w:t>，该部分</w:t>
      </w:r>
      <w:r>
        <w:rPr>
          <w:rFonts w:hint="eastAsia" w:ascii="仿宋" w:hAnsi="仿宋" w:eastAsia="仿宋" w:cs="仿宋"/>
          <w:sz w:val="32"/>
          <w:szCs w:val="32"/>
        </w:rPr>
        <w:t>结余的指标已被医保局统筹使用。具体明细如下：</w:t>
      </w:r>
    </w:p>
    <w:p>
      <w:pPr>
        <w:pStyle w:val="3"/>
        <w:spacing w:before="0" w:after="0" w:line="580" w:lineRule="exact"/>
        <w:ind w:firstLine="643" w:firstLineChars="200"/>
        <w:rPr>
          <w:rFonts w:ascii="仿宋" w:hAnsi="仿宋" w:eastAsia="仿宋" w:cs="仿宋"/>
        </w:rPr>
      </w:pPr>
      <w:r>
        <w:rPr>
          <w:rFonts w:ascii="仿宋" w:hAnsi="仿宋" w:eastAsia="仿宋" w:cs="仿宋"/>
        </w:rPr>
        <w:t>（二）产出指标完成情况分析</w:t>
      </w:r>
    </w:p>
    <w:p>
      <w:pPr>
        <w:pStyle w:val="3"/>
        <w:spacing w:before="0" w:after="0" w:line="580" w:lineRule="exact"/>
        <w:ind w:firstLine="640" w:firstLineChars="200"/>
        <w:rPr>
          <w:rFonts w:ascii="Times New Roman" w:hAnsi="Times New Roman" w:eastAsia="仿宋" w:cstheme="minorBidi"/>
          <w:b w:val="0"/>
          <w:bCs w:val="0"/>
          <w:shd w:val="clear" w:color="auto" w:fill="FFFFFF"/>
        </w:rPr>
      </w:pPr>
      <w:r>
        <w:rPr>
          <w:rFonts w:ascii="Times New Roman" w:hAnsi="Times New Roman" w:eastAsia="仿宋" w:cstheme="minorBidi"/>
          <w:b w:val="0"/>
          <w:bCs w:val="0"/>
          <w:shd w:val="clear" w:color="auto" w:fill="FFFFFF"/>
        </w:rPr>
        <w:t>通过项目实施，医保局</w:t>
      </w:r>
      <w:r>
        <w:rPr>
          <w:rFonts w:hint="eastAsia" w:ascii="Times New Roman" w:hAnsi="Times New Roman" w:eastAsia="仿宋" w:cstheme="minorBidi"/>
          <w:b w:val="0"/>
          <w:bCs w:val="0"/>
          <w:shd w:val="clear" w:color="auto" w:fill="FFFFFF"/>
        </w:rPr>
        <w:t>组织103家定点医药机构负责人参加了“打击欺诈骗保维护基金安全”动员会，并开展了多种形式的专项宣传活动；通过开展多项专项检查，实现了对南县156家协议医药机构检查覆盖率100%，并联合医疗保障事务中心共拒付定点医院违规金92.65万元，追回医保基金434.76万元。在湖南省医疗保障局办公室关于2020年医疗保障基金监管工作绩效考核结果的通报中被评定为 “优秀”。</w:t>
      </w:r>
    </w:p>
    <w:p>
      <w:pPr>
        <w:pStyle w:val="2"/>
        <w:spacing w:before="0" w:after="0" w:line="580" w:lineRule="exact"/>
        <w:ind w:firstLine="640" w:firstLineChars="200"/>
        <w:rPr>
          <w:kern w:val="32"/>
        </w:rPr>
      </w:pPr>
      <w:r>
        <w:rPr>
          <w:kern w:val="32"/>
        </w:rPr>
        <w:t>四、绩效评价结论</w:t>
      </w:r>
    </w:p>
    <w:p>
      <w:pPr>
        <w:ind w:firstLine="640" w:firstLineChars="200"/>
      </w:pPr>
      <w:r>
        <w:rPr>
          <w:rFonts w:ascii="Times New Roman" w:hAnsi="Times New Roman" w:eastAsia="仿宋"/>
          <w:sz w:val="32"/>
          <w:szCs w:val="32"/>
        </w:rPr>
        <w:t>通过实施项目现场检查评价，基本掌握了</w:t>
      </w:r>
      <w:r>
        <w:rPr>
          <w:rFonts w:ascii="仿宋" w:hAnsi="仿宋" w:eastAsia="仿宋" w:cs="仿宋"/>
          <w:sz w:val="32"/>
          <w:szCs w:val="32"/>
        </w:rPr>
        <w:t>基金监督与管理专项资金</w:t>
      </w:r>
      <w:r>
        <w:rPr>
          <w:rFonts w:ascii="Times New Roman" w:hAnsi="Times New Roman" w:eastAsia="仿宋"/>
          <w:sz w:val="32"/>
          <w:szCs w:val="32"/>
        </w:rPr>
        <w:t>的实施情况，了解了涉及的</w:t>
      </w:r>
      <w:r>
        <w:rPr>
          <w:rFonts w:hint="eastAsia" w:ascii="Times New Roman" w:hAnsi="Times New Roman" w:eastAsia="仿宋"/>
          <w:sz w:val="32"/>
          <w:szCs w:val="32"/>
        </w:rPr>
        <w:t>资金使用明细</w:t>
      </w:r>
      <w:r>
        <w:rPr>
          <w:rFonts w:ascii="Times New Roman" w:hAnsi="Times New Roman" w:eastAsia="仿宋"/>
          <w:sz w:val="32"/>
          <w:szCs w:val="32"/>
        </w:rPr>
        <w:t>，经汇总、计算、分析，</w:t>
      </w:r>
      <w:r>
        <w:rPr>
          <w:rFonts w:hint="eastAsia" w:ascii="仿宋" w:hAnsi="仿宋" w:eastAsia="仿宋" w:cs="仿宋"/>
          <w:sz w:val="32"/>
          <w:szCs w:val="32"/>
        </w:rPr>
        <w:t xml:space="preserve"> 2020</w:t>
      </w:r>
      <w:r>
        <w:rPr>
          <w:rFonts w:ascii="仿宋" w:hAnsi="仿宋" w:eastAsia="仿宋" w:cs="仿宋"/>
          <w:sz w:val="32"/>
          <w:szCs w:val="32"/>
        </w:rPr>
        <w:t>年基金监督与管理专项资金</w:t>
      </w:r>
      <w:r>
        <w:rPr>
          <w:rFonts w:ascii="Times New Roman" w:hAnsi="Times New Roman" w:eastAsia="仿宋"/>
          <w:sz w:val="32"/>
          <w:szCs w:val="32"/>
        </w:rPr>
        <w:t>按照要求及时拨付到位；项目进度符合计划；专项资金管理待完善，资金使用欠规范，项目单位通过实施项目，达到预定绩效目标。根据</w:t>
      </w:r>
      <w:r>
        <w:rPr>
          <w:rFonts w:hint="eastAsia" w:ascii="仿宋" w:hAnsi="仿宋" w:eastAsia="仿宋" w:cs="仿宋"/>
          <w:sz w:val="32"/>
          <w:szCs w:val="32"/>
        </w:rPr>
        <w:t>《2020</w:t>
      </w:r>
      <w:r>
        <w:rPr>
          <w:rFonts w:ascii="仿宋" w:hAnsi="仿宋" w:eastAsia="仿宋" w:cs="仿宋"/>
          <w:sz w:val="32"/>
          <w:szCs w:val="32"/>
        </w:rPr>
        <w:t>年基金监督与管理专项资金</w:t>
      </w:r>
      <w:r>
        <w:rPr>
          <w:rFonts w:hint="eastAsia" w:ascii="仿宋" w:hAnsi="仿宋" w:eastAsia="仿宋" w:cs="仿宋"/>
          <w:sz w:val="32"/>
          <w:szCs w:val="32"/>
        </w:rPr>
        <w:t>绩效评价指标评分表》</w:t>
      </w:r>
      <w:r>
        <w:rPr>
          <w:rFonts w:ascii="Times New Roman" w:hAnsi="Times New Roman" w:eastAsia="仿宋"/>
          <w:sz w:val="32"/>
          <w:szCs w:val="32"/>
        </w:rPr>
        <w:t>（附件</w:t>
      </w:r>
      <w:r>
        <w:rPr>
          <w:rFonts w:hint="eastAsia" w:ascii="Times New Roman" w:hAnsi="Times New Roman" w:eastAsia="仿宋"/>
          <w:sz w:val="32"/>
          <w:szCs w:val="32"/>
        </w:rPr>
        <w:t>2</w:t>
      </w:r>
      <w:r>
        <w:rPr>
          <w:rFonts w:ascii="Times New Roman" w:hAnsi="Times New Roman" w:eastAsia="仿宋"/>
          <w:sz w:val="32"/>
          <w:szCs w:val="32"/>
        </w:rPr>
        <w:t>），经评定，</w:t>
      </w:r>
      <w:r>
        <w:rPr>
          <w:rFonts w:hint="eastAsia" w:ascii="仿宋" w:hAnsi="仿宋" w:eastAsia="仿宋" w:cs="仿宋"/>
          <w:sz w:val="32"/>
          <w:szCs w:val="32"/>
        </w:rPr>
        <w:t xml:space="preserve"> 2020</w:t>
      </w:r>
      <w:r>
        <w:rPr>
          <w:rFonts w:ascii="仿宋" w:hAnsi="仿宋" w:eastAsia="仿宋" w:cs="仿宋"/>
          <w:sz w:val="32"/>
          <w:szCs w:val="32"/>
        </w:rPr>
        <w:t>年基金监督与管理专项资金</w:t>
      </w:r>
      <w:r>
        <w:rPr>
          <w:rFonts w:ascii="Times New Roman" w:hAnsi="Times New Roman" w:eastAsia="仿宋"/>
          <w:sz w:val="32"/>
          <w:szCs w:val="32"/>
        </w:rPr>
        <w:t>绩效评价综合得分为</w:t>
      </w:r>
      <w:r>
        <w:rPr>
          <w:rFonts w:hint="eastAsia" w:ascii="Times New Roman" w:hAnsi="Times New Roman" w:eastAsia="仿宋"/>
          <w:sz w:val="32"/>
          <w:szCs w:val="32"/>
        </w:rPr>
        <w:t>83</w:t>
      </w:r>
      <w:r>
        <w:rPr>
          <w:rFonts w:ascii="Times New Roman" w:hAnsi="Times New Roman" w:eastAsia="仿宋"/>
          <w:sz w:val="32"/>
          <w:szCs w:val="32"/>
        </w:rPr>
        <w:t>分， 财政支出绩效评价结论</w:t>
      </w:r>
      <w:r>
        <w:rPr>
          <w:rFonts w:ascii="仿宋" w:hAnsi="仿宋" w:eastAsia="仿宋" w:cs="仿宋"/>
          <w:sz w:val="32"/>
          <w:szCs w:val="32"/>
        </w:rPr>
        <w:t>为“</w:t>
      </w:r>
      <w:r>
        <w:rPr>
          <w:rFonts w:ascii="Times New Roman" w:hAnsi="Times New Roman" w:eastAsia="仿宋"/>
          <w:sz w:val="32"/>
          <w:szCs w:val="32"/>
        </w:rPr>
        <w:t>良好</w:t>
      </w:r>
      <w:r>
        <w:rPr>
          <w:rFonts w:ascii="仿宋" w:hAnsi="仿宋" w:eastAsia="仿宋" w:cs="仿宋"/>
          <w:sz w:val="32"/>
          <w:szCs w:val="32"/>
        </w:rPr>
        <w:t>”。 其中项目决策总分</w:t>
      </w:r>
      <w:r>
        <w:rPr>
          <w:rFonts w:hint="eastAsia" w:ascii="仿宋" w:hAnsi="仿宋" w:eastAsia="仿宋" w:cs="仿宋"/>
          <w:sz w:val="32"/>
          <w:szCs w:val="32"/>
        </w:rPr>
        <w:t>20分，评价得分14.5分，主要扣分原因为无专项资金管理办法，预算编制不合理；</w:t>
      </w:r>
      <w:r>
        <w:rPr>
          <w:rFonts w:ascii="仿宋" w:hAnsi="仿宋" w:eastAsia="仿宋" w:cs="仿宋"/>
          <w:sz w:val="32"/>
          <w:szCs w:val="32"/>
        </w:rPr>
        <w:t>项目管理总分</w:t>
      </w:r>
      <w:r>
        <w:rPr>
          <w:rFonts w:hint="eastAsia" w:ascii="仿宋" w:hAnsi="仿宋" w:eastAsia="仿宋" w:cs="仿宋"/>
          <w:sz w:val="32"/>
          <w:szCs w:val="32"/>
        </w:rPr>
        <w:t>25分，评价得分13.5分，主要扣分原因资金使用和会计核算不规范，资金结余较多，预算执行率低；</w:t>
      </w:r>
      <w:r>
        <w:rPr>
          <w:rFonts w:ascii="仿宋" w:hAnsi="仿宋" w:eastAsia="仿宋" w:cs="仿宋"/>
          <w:sz w:val="32"/>
          <w:szCs w:val="32"/>
        </w:rPr>
        <w:t>项目绩效总分</w:t>
      </w:r>
      <w:r>
        <w:rPr>
          <w:rFonts w:hint="eastAsia" w:ascii="仿宋" w:hAnsi="仿宋" w:eastAsia="仿宋" w:cs="仿宋"/>
          <w:sz w:val="32"/>
          <w:szCs w:val="32"/>
        </w:rPr>
        <w:t>55分，评价得分55分。</w:t>
      </w:r>
    </w:p>
    <w:p>
      <w:pPr>
        <w:pStyle w:val="2"/>
        <w:spacing w:before="0" w:after="0" w:line="580" w:lineRule="exact"/>
        <w:ind w:firstLine="640" w:firstLineChars="200"/>
        <w:rPr>
          <w:kern w:val="32"/>
        </w:rPr>
      </w:pPr>
      <w:r>
        <w:rPr>
          <w:rFonts w:hint="eastAsia"/>
          <w:kern w:val="32"/>
        </w:rPr>
        <w:t>五、项目主要绩效情况分析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（一）开展了多形式宣传活动，提高了监督积极性</w:t>
      </w:r>
    </w:p>
    <w:p>
      <w:pPr>
        <w:ind w:firstLine="640" w:firstLineChars="200"/>
        <w:rPr>
          <w:rFonts w:ascii="仿宋" w:hAnsi="仿宋" w:eastAsia="仿宋" w:cs="仿宋"/>
          <w:sz w:val="32"/>
          <w:szCs w:val="32"/>
        </w:rPr>
      </w:pPr>
      <w:r>
        <w:rPr>
          <w:rFonts w:hint="eastAsia" w:ascii="仿宋" w:hAnsi="仿宋" w:eastAsia="仿宋" w:cs="仿宋"/>
          <w:sz w:val="32"/>
          <w:szCs w:val="32"/>
        </w:rPr>
        <w:t>2020年4月10日组织103家定点医药机构负责人参加了“打击欺诈骗保维护基金安全”动员会。并在4月至5月</w:t>
      </w:r>
      <w:r>
        <w:rPr>
          <w:rFonts w:hint="eastAsia" w:ascii="Times New Roman" w:hAnsi="Times New Roman" w:eastAsia="仿宋"/>
          <w:sz w:val="32"/>
          <w:szCs w:val="32"/>
        </w:rPr>
        <w:t>多种形式</w:t>
      </w:r>
      <w:r>
        <w:rPr>
          <w:rFonts w:hint="eastAsia" w:ascii="仿宋" w:hAnsi="仿宋" w:eastAsia="仿宋" w:cs="仿宋"/>
          <w:sz w:val="32"/>
          <w:szCs w:val="32"/>
        </w:rPr>
        <w:t>开展了“打击欺诈骗保维护基金安全”专项宣传活动。一是以送达方式向70个事业单位、12个乡（镇）政府、170个村社区、440个村卫生室（诊所）、308名县直驻村扶贫干部、139家协议医药机构、85家企业发放宣传海报650张和《医保政策手册》20000份；二是以微信自媒体推送方式转发《医保政策手册》2700余次，点击阅读量13440次；三是以广播的形式播放宣传手册108次，累计播放时间79011分钟；四是将“打击欺诈骗保”和医保政策内容制作成群众喜闻乐见、通俗易懂、印象深刻的动漫、快闪等形式进行宣传。其中：流动宣传车宣传39车次；县内3块LED屏累计播放宣传视频2160次，播放时间71160分钟；电视台播放短片432次，累计播放4863分钟。</w:t>
      </w:r>
      <w:r>
        <w:rPr>
          <w:rFonts w:hint="eastAsia" w:ascii="Times New Roman" w:hAnsi="Times New Roman" w:eastAsia="仿宋"/>
          <w:sz w:val="32"/>
          <w:szCs w:val="32"/>
        </w:rPr>
        <w:t>通过项目实施，</w:t>
      </w:r>
      <w:r>
        <w:rPr>
          <w:rFonts w:hint="eastAsia" w:ascii="仿宋" w:hAnsi="仿宋" w:eastAsia="仿宋" w:cs="仿宋"/>
          <w:sz w:val="32"/>
          <w:szCs w:val="32"/>
        </w:rPr>
        <w:t>提高了社会各界对协议医院机构、医保经办机构的监督积极性。</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（二）开展了多项专项检查，</w:t>
      </w:r>
      <w:r>
        <w:rPr>
          <w:rFonts w:ascii="微软雅黑" w:hAnsi="微软雅黑"/>
          <w:color w:val="333333"/>
          <w:shd w:val="clear" w:color="auto" w:fill="FFFFFF"/>
        </w:rPr>
        <w:t>打击了违规行为</w:t>
      </w:r>
    </w:p>
    <w:p>
      <w:pPr>
        <w:ind w:firstLine="640" w:firstLineChars="200"/>
        <w:rPr>
          <w:rFonts w:ascii="仿宋" w:hAnsi="仿宋" w:eastAsia="仿宋" w:cs="仿宋"/>
          <w:sz w:val="32"/>
          <w:szCs w:val="32"/>
        </w:rPr>
      </w:pPr>
      <w:r>
        <w:rPr>
          <w:rFonts w:hint="eastAsia" w:ascii="仿宋" w:hAnsi="仿宋" w:eastAsia="仿宋" w:cs="仿宋"/>
          <w:sz w:val="32"/>
          <w:szCs w:val="32"/>
        </w:rPr>
        <w:t>通过开展两病、耗材加成、医疗服务价格、两类机构专项治理等专项检查、飞行检查和夜查房、日常巡逻、病例审核发现问题重点检查等方式，2020年全年实现对南县156家协议医药机构检查覆盖率100%，全年累计白天检查110余次，夜查病房60余次，电话核查750余人次，上户调查110余人次，联合医疗保障事务中心共拒付定点医院违规金92.65万元，追回医保基金434.76万元，主动曝光22家协议医药机构的违规行为，共查处2起举报案件，受理欺诈骗保举报4起。</w:t>
      </w:r>
      <w:r>
        <w:rPr>
          <w:rFonts w:hint="eastAsia" w:ascii="Times New Roman" w:hAnsi="Times New Roman" w:eastAsia="仿宋"/>
          <w:sz w:val="32"/>
          <w:szCs w:val="32"/>
        </w:rPr>
        <w:t>通过项目实施，督促定点医药合法、合规使用基金，确保了基金出口安全，构建了“不敢骗、不想骗、不能骗”的社会环境，保障了南县602090名参保对象的合同权益。</w:t>
      </w:r>
    </w:p>
    <w:p>
      <w:pPr>
        <w:pStyle w:val="2"/>
        <w:spacing w:before="0" w:after="0" w:line="630" w:lineRule="exact"/>
        <w:ind w:firstLine="640" w:firstLineChars="200"/>
        <w:rPr>
          <w:kern w:val="32"/>
        </w:rPr>
      </w:pPr>
      <w:r>
        <w:rPr>
          <w:rFonts w:hint="eastAsia"/>
          <w:kern w:val="32"/>
        </w:rPr>
        <w:t>六、存在的主要问题</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（一）资金使用率低，预算编制不合理</w:t>
      </w:r>
    </w:p>
    <w:p>
      <w:pPr>
        <w:spacing w:line="630" w:lineRule="exact"/>
        <w:ind w:firstLine="640" w:firstLineChars="200"/>
        <w:rPr>
          <w:rFonts w:ascii="仿宋" w:hAnsi="仿宋" w:eastAsia="仿宋"/>
          <w:bCs/>
          <w:kern w:val="44"/>
          <w:sz w:val="32"/>
          <w:szCs w:val="32"/>
        </w:rPr>
      </w:pPr>
      <w:r>
        <w:rPr>
          <w:rFonts w:hint="eastAsia" w:ascii="仿宋" w:hAnsi="仿宋" w:eastAsia="仿宋"/>
          <w:sz w:val="32"/>
          <w:szCs w:val="32"/>
        </w:rPr>
        <w:t>1、2020</w:t>
      </w:r>
      <w:r>
        <w:rPr>
          <w:rFonts w:ascii="仿宋" w:hAnsi="仿宋" w:eastAsia="仿宋"/>
          <w:sz w:val="32"/>
          <w:szCs w:val="32"/>
        </w:rPr>
        <w:t>年</w:t>
      </w:r>
      <w:r>
        <w:rPr>
          <w:rFonts w:hint="eastAsia" w:ascii="仿宋" w:hAnsi="仿宋" w:eastAsia="仿宋"/>
          <w:sz w:val="32"/>
          <w:szCs w:val="32"/>
        </w:rPr>
        <w:t>基金监督与管理专项资金</w:t>
      </w:r>
      <w:r>
        <w:rPr>
          <w:rFonts w:hint="eastAsia" w:ascii="仿宋" w:hAnsi="仿宋" w:eastAsia="仿宋" w:cs="仿宋"/>
          <w:sz w:val="32"/>
          <w:szCs w:val="32"/>
        </w:rPr>
        <w:t>结余</w:t>
      </w:r>
      <w:r>
        <w:rPr>
          <w:rFonts w:hint="eastAsia" w:ascii="仿宋" w:hAnsi="仿宋" w:eastAsia="仿宋"/>
          <w:bCs/>
          <w:kern w:val="44"/>
          <w:sz w:val="32"/>
          <w:szCs w:val="32"/>
        </w:rPr>
        <w:t>150735元，结余54%，结余较多，资金使用率低。</w:t>
      </w:r>
    </w:p>
    <w:p>
      <w:pPr>
        <w:pStyle w:val="2"/>
        <w:spacing w:before="0" w:after="0" w:line="580" w:lineRule="exact"/>
        <w:ind w:firstLine="640" w:firstLineChars="200"/>
        <w:rPr>
          <w:rFonts w:ascii="仿宋" w:hAnsi="仿宋" w:eastAsia="仿宋" w:cs="仿宋"/>
          <w:bCs w:val="0"/>
          <w:kern w:val="2"/>
          <w:szCs w:val="32"/>
        </w:rPr>
      </w:pPr>
      <w:r>
        <w:rPr>
          <w:rFonts w:hint="eastAsia" w:ascii="仿宋" w:hAnsi="仿宋" w:eastAsia="仿宋"/>
          <w:bCs w:val="0"/>
          <w:kern w:val="2"/>
          <w:szCs w:val="32"/>
        </w:rPr>
        <w:t>2、</w:t>
      </w:r>
      <w:r>
        <w:rPr>
          <w:rFonts w:hint="eastAsia" w:ascii="仿宋" w:hAnsi="仿宋" w:eastAsia="仿宋" w:cs="仿宋"/>
          <w:bCs w:val="0"/>
          <w:kern w:val="2"/>
          <w:szCs w:val="32"/>
        </w:rPr>
        <w:t>根据提供的支出项目录入表，医保局按部门经济分类编制基金监督与管理专项预算，预算总金额为280000元，实际支出为129265元，具体支出明细如下：</w:t>
      </w:r>
    </w:p>
    <w:tbl>
      <w:tblPr>
        <w:tblStyle w:val="15"/>
        <w:tblW w:w="5000" w:type="pct"/>
        <w:tblInd w:w="0" w:type="dxa"/>
        <w:tblLayout w:type="autofit"/>
        <w:tblCellMar>
          <w:top w:w="0" w:type="dxa"/>
          <w:left w:w="108" w:type="dxa"/>
          <w:bottom w:w="0" w:type="dxa"/>
          <w:right w:w="108" w:type="dxa"/>
        </w:tblCellMar>
      </w:tblPr>
      <w:tblGrid>
        <w:gridCol w:w="1800"/>
        <w:gridCol w:w="1801"/>
        <w:gridCol w:w="1801"/>
        <w:gridCol w:w="1801"/>
        <w:gridCol w:w="1801"/>
      </w:tblGrid>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资金支出内容</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预算数（元）</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执行数（元）</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超支或节约（元）</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超支或节约(%)</w:t>
            </w:r>
          </w:p>
        </w:tc>
      </w:tr>
      <w:tr>
        <w:tblPrEx>
          <w:tblCellMar>
            <w:top w:w="0" w:type="dxa"/>
            <w:left w:w="108" w:type="dxa"/>
            <w:bottom w:w="0" w:type="dxa"/>
            <w:right w:w="108" w:type="dxa"/>
          </w:tblCellMar>
        </w:tblPrEx>
        <w:trPr>
          <w:trHeight w:val="288" w:hRule="atLeast"/>
        </w:trPr>
        <w:tc>
          <w:tcPr>
            <w:tcW w:w="1000"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印刷费</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100,000.00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64,000.00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-36,000.00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-36%</w:t>
            </w:r>
          </w:p>
        </w:tc>
      </w:tr>
      <w:tr>
        <w:tblPrEx>
          <w:tblCellMar>
            <w:top w:w="0" w:type="dxa"/>
            <w:left w:w="108" w:type="dxa"/>
            <w:bottom w:w="0" w:type="dxa"/>
            <w:right w:w="108" w:type="dxa"/>
          </w:tblCellMar>
        </w:tblPrEx>
        <w:trPr>
          <w:trHeight w:val="288" w:hRule="atLeast"/>
        </w:trPr>
        <w:tc>
          <w:tcPr>
            <w:tcW w:w="1000"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奖励金</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288" w:hRule="atLeast"/>
        </w:trPr>
        <w:tc>
          <w:tcPr>
            <w:tcW w:w="1000"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办公费</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100,000.00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1,003.00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-98,997.00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-99%</w:t>
            </w:r>
          </w:p>
        </w:tc>
      </w:tr>
      <w:tr>
        <w:trPr>
          <w:trHeight w:val="288" w:hRule="atLeast"/>
        </w:trPr>
        <w:tc>
          <w:tcPr>
            <w:tcW w:w="1000"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劳务费</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10,000.00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18,480.00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8,480.00</w:t>
            </w:r>
          </w:p>
        </w:tc>
        <w:tc>
          <w:tcPr>
            <w:tcW w:w="1000"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85%</w:t>
            </w:r>
          </w:p>
        </w:tc>
      </w:tr>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公务接待费</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10,000.00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13,790.00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3,790.00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38%</w:t>
            </w:r>
          </w:p>
        </w:tc>
      </w:tr>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差旅费</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60,000.00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23,062.00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-36,938.00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-62%</w:t>
            </w:r>
          </w:p>
        </w:tc>
      </w:tr>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租车费</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3,550.00</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3,550.00</w:t>
            </w:r>
          </w:p>
        </w:tc>
        <w:tc>
          <w:tcPr>
            <w:tcW w:w="100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工作餐</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5,080.00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5,080.00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288" w:hRule="atLeast"/>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合计</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280,000.00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129,265.00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-150,735.00</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-54%</w:t>
            </w:r>
          </w:p>
        </w:tc>
      </w:tr>
    </w:tbl>
    <w:p>
      <w:pPr>
        <w:spacing w:line="630" w:lineRule="exact"/>
        <w:ind w:firstLine="640" w:firstLineChars="200"/>
        <w:rPr>
          <w:rFonts w:ascii="Times New Roman" w:hAnsi="Times New Roman" w:eastAsia="仿宋"/>
          <w:sz w:val="32"/>
          <w:szCs w:val="32"/>
        </w:rPr>
      </w:pPr>
      <w:r>
        <w:rPr>
          <w:rFonts w:hint="eastAsia" w:ascii="仿宋" w:hAnsi="仿宋" w:eastAsia="仿宋" w:cs="仿宋"/>
          <w:sz w:val="32"/>
          <w:szCs w:val="32"/>
        </w:rPr>
        <w:t>从上表可以看出，项目实际支出</w:t>
      </w:r>
      <w:r>
        <w:rPr>
          <w:rFonts w:hint="eastAsia" w:ascii="Times New Roman" w:hAnsi="Times New Roman" w:eastAsia="仿宋"/>
          <w:sz w:val="32"/>
          <w:szCs w:val="32"/>
          <w:shd w:val="clear" w:color="auto" w:fill="FFFFFF"/>
        </w:rPr>
        <w:t>129265</w:t>
      </w:r>
      <w:r>
        <w:rPr>
          <w:rFonts w:ascii="仿宋" w:hAnsi="仿宋" w:eastAsia="仿宋" w:cs="仿宋"/>
          <w:sz w:val="32"/>
          <w:szCs w:val="32"/>
        </w:rPr>
        <w:t>元与总</w:t>
      </w:r>
      <w:r>
        <w:rPr>
          <w:rFonts w:hint="eastAsia" w:ascii="仿宋" w:hAnsi="仿宋" w:eastAsia="仿宋" w:cs="仿宋"/>
          <w:sz w:val="32"/>
          <w:szCs w:val="32"/>
        </w:rPr>
        <w:t>预算280000元</w:t>
      </w:r>
      <w:r>
        <w:rPr>
          <w:rFonts w:ascii="仿宋" w:hAnsi="仿宋" w:eastAsia="仿宋" w:cs="仿宋"/>
          <w:sz w:val="32"/>
          <w:szCs w:val="32"/>
        </w:rPr>
        <w:t>相差大，</w:t>
      </w:r>
      <w:r>
        <w:rPr>
          <w:rFonts w:hint="eastAsia" w:ascii="仿宋" w:hAnsi="仿宋" w:eastAsia="仿宋" w:cs="仿宋"/>
          <w:sz w:val="32"/>
          <w:szCs w:val="32"/>
        </w:rPr>
        <w:t>较预算节约150735元，节约54%，节约较多的主要是印刷费</w:t>
      </w:r>
      <w:r>
        <w:rPr>
          <w:rFonts w:hint="eastAsia" w:cs="宋体" w:asciiTheme="majorEastAsia" w:hAnsiTheme="majorEastAsia" w:eastAsiaTheme="majorEastAsia"/>
          <w:color w:val="000000"/>
          <w:kern w:val="0"/>
          <w:szCs w:val="21"/>
        </w:rPr>
        <w:t>、</w:t>
      </w:r>
      <w:r>
        <w:rPr>
          <w:rFonts w:hint="eastAsia" w:ascii="仿宋" w:hAnsi="仿宋" w:eastAsia="仿宋" w:cs="仿宋"/>
          <w:sz w:val="32"/>
          <w:szCs w:val="32"/>
        </w:rPr>
        <w:t>办公费和差旅费。由于这三块预算编制不合理，导致总预算与实际执行偏差大。</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（二）</w:t>
      </w:r>
      <w:r>
        <w:rPr>
          <w:rFonts w:hint="eastAsia" w:ascii="仿宋" w:hAnsi="仿宋" w:eastAsia="仿宋" w:cs="仿宋"/>
          <w:b/>
          <w:sz w:val="32"/>
          <w:szCs w:val="32"/>
        </w:rPr>
        <w:t>专项资金管理制度不健全</w:t>
      </w:r>
    </w:p>
    <w:p>
      <w:pPr>
        <w:pStyle w:val="2"/>
        <w:spacing w:before="0" w:after="0" w:line="580" w:lineRule="exact"/>
        <w:ind w:firstLine="640" w:firstLineChars="200"/>
        <w:rPr>
          <w:rFonts w:ascii="仿宋" w:hAnsi="仿宋" w:eastAsia="仿宋" w:cs="仿宋"/>
          <w:szCs w:val="32"/>
        </w:rPr>
      </w:pPr>
      <w:r>
        <w:rPr>
          <w:rFonts w:hint="eastAsia" w:ascii="仿宋" w:hAnsi="仿宋" w:eastAsia="仿宋" w:cs="仿宋"/>
          <w:szCs w:val="32"/>
        </w:rPr>
        <w:t>医保局制定了《南县医疗保障局关于做好2020年医保基金监管工作的通知》、《南县医疗保障局机关财务管理制度》，但未对取得的</w:t>
      </w:r>
      <w:r>
        <w:rPr>
          <w:rFonts w:hint="eastAsia" w:ascii="Times New Roman" w:hAnsi="Times New Roman" w:eastAsia="仿宋"/>
          <w:szCs w:val="32"/>
        </w:rPr>
        <w:t>基金监督与管理专项资金</w:t>
      </w:r>
      <w:r>
        <w:rPr>
          <w:rFonts w:hint="eastAsia" w:ascii="仿宋" w:hAnsi="仿宋" w:eastAsia="仿宋" w:cs="仿宋"/>
          <w:szCs w:val="32"/>
        </w:rPr>
        <w:t>制定专门的资金管理办法，对于专项资金的支出范围未有明确的界定。</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（三）财务管理不规范</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1、存在大额现金支付现象</w:t>
      </w:r>
    </w:p>
    <w:p>
      <w:pPr>
        <w:spacing w:line="630" w:lineRule="exact"/>
        <w:ind w:firstLine="640" w:firstLineChars="200"/>
        <w:rPr>
          <w:rFonts w:ascii="仿宋" w:hAnsi="仿宋" w:eastAsia="仿宋" w:cs="仿宋"/>
          <w:sz w:val="32"/>
          <w:szCs w:val="32"/>
        </w:rPr>
      </w:pPr>
      <w:r>
        <w:rPr>
          <w:rFonts w:ascii="Times New Roman" w:hAnsi="Times New Roman" w:eastAsia="仿宋"/>
          <w:bCs/>
          <w:kern w:val="44"/>
          <w:sz w:val="32"/>
          <w:szCs w:val="32"/>
        </w:rPr>
        <w:t>现场评价发现</w:t>
      </w:r>
      <w:r>
        <w:rPr>
          <w:rFonts w:hint="eastAsia" w:ascii="Times New Roman" w:hAnsi="Times New Roman" w:eastAsia="仿宋"/>
          <w:bCs/>
          <w:kern w:val="44"/>
          <w:sz w:val="32"/>
          <w:szCs w:val="32"/>
        </w:rPr>
        <w:t>大额现金支付情况较多：如</w:t>
      </w:r>
      <w:r>
        <w:rPr>
          <w:rFonts w:hint="eastAsia" w:ascii="仿宋" w:hAnsi="仿宋" w:eastAsia="仿宋" w:cs="仿宋"/>
          <w:sz w:val="32"/>
          <w:szCs w:val="32"/>
        </w:rPr>
        <w:t>2020年</w:t>
      </w:r>
      <w:r>
        <w:rPr>
          <w:rFonts w:hint="eastAsia" w:ascii="Times New Roman" w:hAnsi="Times New Roman" w:eastAsia="仿宋"/>
          <w:bCs/>
          <w:kern w:val="44"/>
          <w:sz w:val="32"/>
          <w:szCs w:val="32"/>
        </w:rPr>
        <w:t>1月记账4#凭证支付交通费、差旅费、公务接待费等支出94751元</w:t>
      </w:r>
      <w:r>
        <w:rPr>
          <w:rFonts w:hint="eastAsia" w:ascii="仿宋" w:hAnsi="仿宋" w:eastAsia="仿宋" w:cs="仿宋"/>
          <w:sz w:val="32"/>
          <w:szCs w:val="32"/>
        </w:rPr>
        <w:t>；2020年</w:t>
      </w:r>
      <w:r>
        <w:rPr>
          <w:rFonts w:hint="eastAsia" w:ascii="Times New Roman" w:hAnsi="Times New Roman" w:eastAsia="仿宋"/>
          <w:bCs/>
          <w:kern w:val="44"/>
          <w:sz w:val="32"/>
          <w:szCs w:val="32"/>
        </w:rPr>
        <w:t>7月记账4#凭证支付办公费、差旅费、预交电费等支出31295.40元</w:t>
      </w:r>
      <w:r>
        <w:rPr>
          <w:rFonts w:hint="eastAsia" w:ascii="仿宋" w:hAnsi="仿宋" w:eastAsia="仿宋" w:cs="仿宋"/>
          <w:sz w:val="32"/>
          <w:szCs w:val="32"/>
        </w:rPr>
        <w:t>；2020年</w:t>
      </w:r>
      <w:r>
        <w:rPr>
          <w:rFonts w:hint="eastAsia" w:ascii="Times New Roman" w:hAnsi="Times New Roman" w:eastAsia="仿宋"/>
          <w:bCs/>
          <w:kern w:val="44"/>
          <w:sz w:val="32"/>
          <w:szCs w:val="32"/>
        </w:rPr>
        <w:t>12月记账4#凭证支付差旅费、公务接待费、预交电费、办公费等支出155444.36元</w:t>
      </w:r>
      <w:r>
        <w:rPr>
          <w:rFonts w:hint="eastAsia" w:ascii="仿宋" w:hAnsi="仿宋" w:eastAsia="仿宋" w:cs="仿宋"/>
          <w:sz w:val="32"/>
          <w:szCs w:val="32"/>
        </w:rPr>
        <w:t>。</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2、存在</w:t>
      </w:r>
      <w:r>
        <w:rPr>
          <w:rFonts w:ascii="仿宋" w:hAnsi="仿宋" w:eastAsia="仿宋" w:cs="仿宋"/>
          <w:b/>
          <w:bCs/>
          <w:kern w:val="32"/>
          <w:sz w:val="32"/>
          <w:szCs w:val="32"/>
        </w:rPr>
        <w:t>支出手续不完善现象</w:t>
      </w:r>
    </w:p>
    <w:p>
      <w:pPr>
        <w:spacing w:line="630" w:lineRule="exact"/>
        <w:ind w:firstLine="640" w:firstLineChars="200"/>
        <w:rPr>
          <w:rFonts w:ascii="Times New Roman" w:hAnsi="Times New Roman" w:eastAsia="仿宋"/>
          <w:bCs/>
          <w:kern w:val="44"/>
          <w:sz w:val="32"/>
          <w:szCs w:val="32"/>
        </w:rPr>
      </w:pPr>
      <w:r>
        <w:rPr>
          <w:rFonts w:ascii="Times New Roman" w:hAnsi="Times New Roman" w:eastAsia="仿宋"/>
          <w:bCs/>
          <w:kern w:val="44"/>
          <w:sz w:val="32"/>
          <w:szCs w:val="32"/>
        </w:rPr>
        <w:t>现场评价发现医保局未使用公务用车，而是租用社会车辆，但存在租车</w:t>
      </w:r>
      <w:r>
        <w:rPr>
          <w:rFonts w:ascii="Times New Roman" w:hAnsi="Times New Roman" w:eastAsia="仿宋"/>
          <w:sz w:val="32"/>
          <w:szCs w:val="32"/>
        </w:rPr>
        <w:t>支付手续不完善现象。如：</w:t>
      </w:r>
      <w:r>
        <w:rPr>
          <w:rFonts w:hint="eastAsia" w:ascii="仿宋" w:hAnsi="仿宋" w:eastAsia="仿宋" w:cs="仿宋"/>
          <w:sz w:val="32"/>
          <w:szCs w:val="32"/>
        </w:rPr>
        <w:t>2020年</w:t>
      </w:r>
      <w:r>
        <w:rPr>
          <w:rFonts w:hint="eastAsia" w:ascii="Times New Roman" w:hAnsi="Times New Roman" w:eastAsia="仿宋"/>
          <w:bCs/>
          <w:kern w:val="44"/>
          <w:sz w:val="32"/>
          <w:szCs w:val="32"/>
        </w:rPr>
        <w:t>1月记账4#凭证支付巡查租车7400元</w:t>
      </w:r>
      <w:r>
        <w:rPr>
          <w:rFonts w:hint="eastAsia" w:ascii="仿宋" w:hAnsi="仿宋" w:eastAsia="仿宋" w:cs="仿宋"/>
          <w:sz w:val="32"/>
          <w:szCs w:val="32"/>
        </w:rPr>
        <w:t>，</w:t>
      </w:r>
      <w:r>
        <w:rPr>
          <w:rFonts w:hint="eastAsia" w:ascii="Times New Roman" w:hAnsi="Times New Roman" w:eastAsia="仿宋"/>
          <w:bCs/>
          <w:kern w:val="44"/>
          <w:sz w:val="32"/>
          <w:szCs w:val="32"/>
        </w:rPr>
        <w:t>只有代开发票，未有</w:t>
      </w:r>
      <w:r>
        <w:rPr>
          <w:rFonts w:hint="eastAsia" w:ascii="Times New Roman" w:hAnsi="Times New Roman" w:eastAsia="仿宋"/>
          <w:sz w:val="32"/>
          <w:szCs w:val="32"/>
        </w:rPr>
        <w:t>租车协议</w:t>
      </w:r>
      <w:r>
        <w:rPr>
          <w:rFonts w:hint="eastAsia" w:ascii="Times New Roman" w:hAnsi="Times New Roman" w:eastAsia="仿宋"/>
          <w:bCs/>
          <w:kern w:val="44"/>
          <w:sz w:val="32"/>
          <w:szCs w:val="32"/>
        </w:rPr>
        <w:t>或用车明细表，也无租车事件、时间及人数的说明资料。</w:t>
      </w:r>
    </w:p>
    <w:p>
      <w:pPr>
        <w:pStyle w:val="2"/>
        <w:spacing w:before="0" w:after="0" w:line="630" w:lineRule="exact"/>
        <w:ind w:firstLine="640" w:firstLineChars="200"/>
        <w:rPr>
          <w:kern w:val="32"/>
        </w:rPr>
      </w:pPr>
      <w:r>
        <w:rPr>
          <w:kern w:val="32"/>
        </w:rPr>
        <w:t>七、有关建议</w:t>
      </w:r>
    </w:p>
    <w:p>
      <w:pPr>
        <w:spacing w:line="630" w:lineRule="exact"/>
        <w:ind w:firstLine="643" w:firstLineChars="200"/>
        <w:outlineLvl w:val="1"/>
        <w:rPr>
          <w:rFonts w:ascii="仿宋" w:hAnsi="仿宋" w:eastAsia="仿宋" w:cs="仿宋"/>
          <w:b/>
          <w:bCs/>
          <w:sz w:val="32"/>
          <w:szCs w:val="32"/>
        </w:rPr>
      </w:pPr>
      <w:r>
        <w:rPr>
          <w:rFonts w:hint="eastAsia" w:ascii="仿宋" w:hAnsi="仿宋" w:eastAsia="仿宋" w:cs="仿宋"/>
          <w:b/>
          <w:bCs/>
          <w:kern w:val="32"/>
          <w:sz w:val="32"/>
          <w:szCs w:val="32"/>
        </w:rPr>
        <w:t>(一)</w:t>
      </w:r>
      <w:r>
        <w:rPr>
          <w:rFonts w:hint="eastAsia" w:ascii="仿宋" w:hAnsi="仿宋" w:eastAsia="仿宋" w:cs="仿宋"/>
          <w:b/>
          <w:bCs/>
          <w:sz w:val="32"/>
          <w:szCs w:val="32"/>
        </w:rPr>
        <w:t>加强预算管理，提高资金使用效率</w:t>
      </w:r>
    </w:p>
    <w:p>
      <w:pPr>
        <w:spacing w:line="630" w:lineRule="exact"/>
        <w:ind w:firstLine="640" w:firstLineChars="200"/>
        <w:outlineLvl w:val="1"/>
        <w:rPr>
          <w:rFonts w:ascii="仿宋" w:hAnsi="仿宋" w:eastAsia="仿宋" w:cs="仿宋"/>
          <w:sz w:val="32"/>
          <w:szCs w:val="32"/>
        </w:rPr>
      </w:pPr>
      <w:r>
        <w:rPr>
          <w:rFonts w:hint="eastAsia" w:ascii="仿宋" w:hAnsi="仿宋" w:eastAsia="仿宋" w:cs="仿宋"/>
          <w:sz w:val="32"/>
          <w:szCs w:val="32"/>
        </w:rPr>
        <w:t>建议各级部门应加强项目预算编制调研工作，细化专项资金预算。县财政局要加强对预算编制的审查，对专项资金的使用方向、时间安排、资金总量等要严格控制，</w:t>
      </w:r>
      <w:r>
        <w:rPr>
          <w:rFonts w:hint="eastAsia" w:ascii="仿宋" w:hAnsi="仿宋" w:eastAsia="仿宋"/>
          <w:sz w:val="32"/>
          <w:szCs w:val="32"/>
          <w:lang w:val="zh-TW"/>
        </w:rPr>
        <w:t>适时调整预算金额，</w:t>
      </w:r>
      <w:r>
        <w:rPr>
          <w:rFonts w:hint="eastAsia" w:ascii="仿宋" w:hAnsi="仿宋" w:eastAsia="仿宋" w:cs="仿宋"/>
          <w:sz w:val="32"/>
          <w:szCs w:val="32"/>
        </w:rPr>
        <w:t>避免虚列项目或多要资金等现象。可根据往年实际开支情况并充分考虑当年政策和环境变化测算预算明细，提高预算编制的准确性和科学性。</w:t>
      </w:r>
      <w:r>
        <w:rPr>
          <w:rFonts w:hint="eastAsia" w:ascii="仿宋" w:hAnsi="仿宋" w:eastAsia="仿宋"/>
          <w:sz w:val="32"/>
          <w:szCs w:val="32"/>
          <w:lang w:val="zh-TW"/>
        </w:rPr>
        <w:t>通过调整</w:t>
      </w:r>
      <w:r>
        <w:rPr>
          <w:rFonts w:hint="eastAsia" w:ascii="仿宋" w:hAnsi="仿宋" w:eastAsia="仿宋" w:cs="仿宋"/>
          <w:sz w:val="32"/>
          <w:szCs w:val="32"/>
        </w:rPr>
        <w:t>基金监督与管理专项</w:t>
      </w:r>
      <w:r>
        <w:rPr>
          <w:rFonts w:hint="eastAsia" w:ascii="仿宋" w:hAnsi="仿宋" w:eastAsia="仿宋"/>
          <w:sz w:val="32"/>
          <w:szCs w:val="32"/>
          <w:lang w:val="zh-TW"/>
        </w:rPr>
        <w:t>预算金额，节约专项</w:t>
      </w:r>
      <w:r>
        <w:rPr>
          <w:rFonts w:ascii="仿宋" w:hAnsi="仿宋" w:eastAsia="仿宋"/>
          <w:sz w:val="32"/>
          <w:szCs w:val="32"/>
          <w:lang w:val="zh-TW"/>
        </w:rPr>
        <w:t>筹资</w:t>
      </w:r>
      <w:r>
        <w:rPr>
          <w:rFonts w:hint="eastAsia" w:ascii="仿宋" w:hAnsi="仿宋" w:eastAsia="仿宋"/>
          <w:sz w:val="32"/>
          <w:szCs w:val="32"/>
          <w:lang w:val="zh-TW"/>
        </w:rPr>
        <w:t>金额，来减小投入产出偏差，提高资金使用效率</w:t>
      </w:r>
      <w:r>
        <w:rPr>
          <w:rFonts w:hint="eastAsia" w:ascii="仿宋" w:hAnsi="仿宋" w:eastAsia="仿宋" w:cs="仿宋"/>
          <w:sz w:val="32"/>
          <w:szCs w:val="32"/>
        </w:rPr>
        <w:t>。</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 xml:space="preserve"> (二)进一步完善相关制度规定</w:t>
      </w:r>
    </w:p>
    <w:p>
      <w:pPr>
        <w:spacing w:line="630" w:lineRule="exact"/>
        <w:ind w:firstLine="640" w:firstLineChars="200"/>
        <w:outlineLvl w:val="1"/>
        <w:rPr>
          <w:rFonts w:ascii="仿宋" w:hAnsi="仿宋" w:eastAsia="仿宋" w:cs="仿宋"/>
          <w:sz w:val="32"/>
          <w:szCs w:val="32"/>
        </w:rPr>
      </w:pPr>
      <w:r>
        <w:rPr>
          <w:rFonts w:hint="eastAsia" w:ascii="仿宋" w:hAnsi="仿宋" w:eastAsia="仿宋"/>
          <w:sz w:val="32"/>
          <w:szCs w:val="32"/>
          <w:lang w:val="zh-TW"/>
        </w:rPr>
        <w:t>建议对于经常使用的专项资金制定具体资金管理办法。县医保局、县财政局进一步完善</w:t>
      </w:r>
      <w:r>
        <w:rPr>
          <w:rFonts w:hint="eastAsia" w:ascii="仿宋" w:hAnsi="仿宋" w:eastAsia="仿宋" w:cs="仿宋"/>
          <w:sz w:val="32"/>
          <w:szCs w:val="32"/>
        </w:rPr>
        <w:t>基金监督与管理专项</w:t>
      </w:r>
      <w:r>
        <w:rPr>
          <w:rFonts w:hint="eastAsia" w:ascii="仿宋" w:hAnsi="仿宋" w:eastAsia="仿宋"/>
          <w:sz w:val="32"/>
          <w:szCs w:val="32"/>
          <w:lang w:val="zh-TW"/>
        </w:rPr>
        <w:t>资金管理办法，根据年度工作计划</w:t>
      </w:r>
      <w:r>
        <w:rPr>
          <w:rFonts w:hint="eastAsia" w:ascii="仿宋" w:hAnsi="仿宋" w:eastAsia="仿宋" w:cs="仿宋"/>
          <w:sz w:val="32"/>
          <w:szCs w:val="32"/>
        </w:rPr>
        <w:t>量化绩效目标，规定资金的主管部门、使用范围，并对专项资金的使用计划、报销手续、会计核算及效果等方面进行规范，提高会计核算的准确性。</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(三)加强财务管理</w:t>
      </w:r>
    </w:p>
    <w:p>
      <w:pPr>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建议一是严格按照《南县医疗保障局机关财务制度细则》中 “确需用现金支付给非本单位职工且单笔金额在1000元以下的零星支出费用；确需用现金支</w:t>
      </w:r>
      <w:bookmarkStart w:id="6" w:name="_GoBack"/>
      <w:bookmarkEnd w:id="6"/>
      <w:r>
        <w:rPr>
          <w:rFonts w:hint="eastAsia" w:ascii="仿宋" w:hAnsi="仿宋" w:eastAsia="仿宋" w:cs="仿宋"/>
          <w:sz w:val="32"/>
          <w:szCs w:val="32"/>
        </w:rPr>
        <w:t>付给单位临时聘用人员（不含长期聘用人员）的费用等情况。”的规定使用备用金，杜绝大额现金支付现象。</w:t>
      </w:r>
      <w:r>
        <w:rPr>
          <w:rFonts w:hint="eastAsia" w:ascii="仿宋_GB2312" w:hAnsi="仿宋" w:eastAsia="仿宋_GB2312" w:cs="仿宋_GB2312"/>
          <w:sz w:val="32"/>
          <w:szCs w:val="32"/>
        </w:rPr>
        <w:t>二是会计人员加强对原始单据的审核，确保报销入账的票据及其附件切实证明所报业务支出的真实、可信，对于附件不齐全的原始凭证不予报销。</w:t>
      </w:r>
    </w:p>
    <w:p>
      <w:pPr>
        <w:pStyle w:val="2"/>
        <w:spacing w:before="0" w:after="0" w:line="630" w:lineRule="exact"/>
        <w:ind w:firstLine="640" w:firstLineChars="200"/>
        <w:rPr>
          <w:kern w:val="32"/>
        </w:rPr>
      </w:pPr>
      <w:r>
        <w:rPr>
          <w:kern w:val="32"/>
        </w:rPr>
        <w:t>八、报告附表</w:t>
      </w:r>
    </w:p>
    <w:p>
      <w:pPr>
        <w:spacing w:line="630" w:lineRule="exact"/>
        <w:ind w:firstLine="640" w:firstLineChars="200"/>
        <w:rPr>
          <w:rFonts w:ascii="Times New Roman" w:hAnsi="Times New Roman" w:eastAsia="仿宋"/>
          <w:spacing w:val="6"/>
          <w:sz w:val="32"/>
          <w:szCs w:val="32"/>
        </w:rPr>
      </w:pPr>
      <w:r>
        <w:rPr>
          <w:rFonts w:ascii="仿宋" w:hAnsi="仿宋" w:eastAsia="仿宋" w:cs="仿宋"/>
          <w:sz w:val="32"/>
          <w:szCs w:val="32"/>
        </w:rPr>
        <w:t>附件1：</w:t>
      </w:r>
      <w:r>
        <w:rPr>
          <w:rFonts w:hint="eastAsia" w:ascii="Times New Roman" w:hAnsi="Times New Roman" w:eastAsia="仿宋"/>
          <w:sz w:val="32"/>
          <w:szCs w:val="32"/>
        </w:rPr>
        <w:t>2020年基金监督与管理专项资金</w:t>
      </w:r>
      <w:r>
        <w:rPr>
          <w:rFonts w:ascii="Times New Roman" w:hAnsi="Times New Roman" w:eastAsia="仿宋"/>
          <w:spacing w:val="6"/>
          <w:sz w:val="32"/>
          <w:szCs w:val="32"/>
        </w:rPr>
        <w:t>基础数据表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附件2</w:t>
      </w:r>
      <w:r>
        <w:rPr>
          <w:rFonts w:ascii="Times New Roman" w:hAnsi="Times New Roman" w:eastAsia="仿宋"/>
          <w:sz w:val="32"/>
          <w:szCs w:val="32"/>
        </w:rPr>
        <w:t>：</w:t>
      </w:r>
      <w:r>
        <w:rPr>
          <w:rFonts w:hint="eastAsia" w:ascii="Times New Roman" w:hAnsi="Times New Roman" w:eastAsia="仿宋"/>
          <w:sz w:val="32"/>
          <w:szCs w:val="32"/>
        </w:rPr>
        <w:t>2020</w:t>
      </w:r>
      <w:r>
        <w:rPr>
          <w:rFonts w:ascii="Times New Roman" w:hAnsi="Times New Roman" w:eastAsia="仿宋"/>
          <w:sz w:val="32"/>
          <w:szCs w:val="32"/>
        </w:rPr>
        <w:t>年基金监督与管理专项资金</w:t>
      </w:r>
      <w:r>
        <w:rPr>
          <w:rFonts w:hint="eastAsia" w:ascii="Times New Roman" w:hAnsi="Times New Roman" w:eastAsia="仿宋"/>
          <w:sz w:val="32"/>
          <w:szCs w:val="32"/>
        </w:rPr>
        <w:t>绩效评价指标评分</w:t>
      </w:r>
      <w:r>
        <w:rPr>
          <w:rFonts w:hint="eastAsia" w:ascii="仿宋" w:hAnsi="仿宋" w:eastAsia="仿宋" w:cs="仿宋"/>
          <w:sz w:val="32"/>
          <w:szCs w:val="32"/>
        </w:rPr>
        <w:t>表</w:t>
      </w:r>
    </w:p>
    <w:p>
      <w:pPr>
        <w:pStyle w:val="38"/>
        <w:ind w:left="720" w:firstLine="0" w:firstLineChars="0"/>
        <w:jc w:val="left"/>
        <w:rPr>
          <w:rFonts w:ascii="仿宋" w:hAnsi="仿宋" w:eastAsia="仿宋" w:cs="仿宋"/>
          <w:sz w:val="32"/>
          <w:szCs w:val="32"/>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二〇二一年七月二十六日</w:t>
      </w:r>
    </w:p>
    <w:sectPr>
      <w:headerReference r:id="rId6" w:type="default"/>
      <w:footerReference r:id="rId8" w:type="default"/>
      <w:headerReference r:id="rId7"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9"/>
          <w:jc w:val="center"/>
        </w:pPr>
        <w:r>
          <w:fldChar w:fldCharType="begin"/>
        </w:r>
        <w:r>
          <w:instrText xml:space="preserve">PAGE   \* MERGEFORMAT</w:instrText>
        </w:r>
        <w:r>
          <w:fldChar w:fldCharType="separate"/>
        </w:r>
        <w:r>
          <w:rPr>
            <w:lang w:val="zh-CN"/>
          </w:rPr>
          <w:t>9</w:t>
        </w:r>
        <w:r>
          <w:rPr>
            <w:lang w:val="zh-CN"/>
          </w:rPr>
          <w:fldChar w:fldCharType="end"/>
        </w:r>
      </w:p>
    </w:sdtContent>
  </w:sdt>
  <w:p>
    <w:pPr>
      <w:pStyle w:val="9"/>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16F64"/>
    <w:multiLevelType w:val="singleLevel"/>
    <w:tmpl w:val="49116F64"/>
    <w:lvl w:ilvl="0" w:tentative="0">
      <w:start w:val="4"/>
      <w:numFmt w:val="decimal"/>
      <w:suff w:val="nothing"/>
      <w:lvlText w:val="%1、"/>
      <w:lvlJc w:val="left"/>
    </w:lvl>
  </w:abstractNum>
  <w:abstractNum w:abstractNumId="1">
    <w:nsid w:val="5AD0157F"/>
    <w:multiLevelType w:val="multilevel"/>
    <w:tmpl w:val="5AD0157F"/>
    <w:lvl w:ilvl="0" w:tentative="0">
      <w:start w:val="1"/>
      <w:numFmt w:val="japaneseCounting"/>
      <w:lvlText w:val="%1、"/>
      <w:lvlJc w:val="left"/>
      <w:pPr>
        <w:ind w:left="1315" w:hanging="672"/>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6940"/>
    <w:rsid w:val="00017297"/>
    <w:rsid w:val="00017B10"/>
    <w:rsid w:val="00020D2B"/>
    <w:rsid w:val="00020F83"/>
    <w:rsid w:val="00021207"/>
    <w:rsid w:val="0002195C"/>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E75"/>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37D0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55F"/>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2FE"/>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8A0"/>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064"/>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6B"/>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6D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B7F"/>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C18"/>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0E7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8A4"/>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39C"/>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B86"/>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A46"/>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9B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C4D"/>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973"/>
    <w:rsid w:val="00241CB8"/>
    <w:rsid w:val="00241D88"/>
    <w:rsid w:val="002423B3"/>
    <w:rsid w:val="002424C7"/>
    <w:rsid w:val="00242DCD"/>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5D6"/>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20F"/>
    <w:rsid w:val="00262671"/>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C49"/>
    <w:rsid w:val="00277D38"/>
    <w:rsid w:val="00277E8D"/>
    <w:rsid w:val="00280210"/>
    <w:rsid w:val="00280284"/>
    <w:rsid w:val="00280557"/>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00"/>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8CA"/>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2E11"/>
    <w:rsid w:val="002E31CF"/>
    <w:rsid w:val="002E39F7"/>
    <w:rsid w:val="002E3D06"/>
    <w:rsid w:val="002E3E7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C3D"/>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798"/>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9"/>
    <w:rsid w:val="00360A2D"/>
    <w:rsid w:val="00360A6B"/>
    <w:rsid w:val="00360B76"/>
    <w:rsid w:val="00361708"/>
    <w:rsid w:val="00361B81"/>
    <w:rsid w:val="00361DC2"/>
    <w:rsid w:val="00362128"/>
    <w:rsid w:val="00362213"/>
    <w:rsid w:val="003622D1"/>
    <w:rsid w:val="00362C9A"/>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847"/>
    <w:rsid w:val="00366BC4"/>
    <w:rsid w:val="00366F2C"/>
    <w:rsid w:val="003672CE"/>
    <w:rsid w:val="00367330"/>
    <w:rsid w:val="003674BC"/>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4F70"/>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0F41"/>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4A25"/>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3E53"/>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5FF"/>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7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05"/>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8E8"/>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709"/>
    <w:rsid w:val="00463D12"/>
    <w:rsid w:val="00463D1D"/>
    <w:rsid w:val="00463E14"/>
    <w:rsid w:val="0046429F"/>
    <w:rsid w:val="004645C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B8"/>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305"/>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91F"/>
    <w:rsid w:val="004B0DC4"/>
    <w:rsid w:val="004B0E6E"/>
    <w:rsid w:val="004B1195"/>
    <w:rsid w:val="004B12EC"/>
    <w:rsid w:val="004B15CD"/>
    <w:rsid w:val="004B16D8"/>
    <w:rsid w:val="004B1AB1"/>
    <w:rsid w:val="004B1DEB"/>
    <w:rsid w:val="004B2176"/>
    <w:rsid w:val="004B21DC"/>
    <w:rsid w:val="004B24FB"/>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999"/>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4F7FDD"/>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341"/>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69C"/>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2"/>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38"/>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394"/>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A65"/>
    <w:rsid w:val="006E1B71"/>
    <w:rsid w:val="006E1EAB"/>
    <w:rsid w:val="006E1EBA"/>
    <w:rsid w:val="006E231F"/>
    <w:rsid w:val="006E2323"/>
    <w:rsid w:val="006E242B"/>
    <w:rsid w:val="006E2444"/>
    <w:rsid w:val="006E24F5"/>
    <w:rsid w:val="006E28FB"/>
    <w:rsid w:val="006E29B2"/>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860"/>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AAC"/>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4FE8"/>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93E"/>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381"/>
    <w:rsid w:val="0074553C"/>
    <w:rsid w:val="0074581D"/>
    <w:rsid w:val="00745C07"/>
    <w:rsid w:val="00745D6D"/>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CCB"/>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3E2"/>
    <w:rsid w:val="00792D29"/>
    <w:rsid w:val="00793543"/>
    <w:rsid w:val="00793DB8"/>
    <w:rsid w:val="0079467C"/>
    <w:rsid w:val="00794AA7"/>
    <w:rsid w:val="007951D0"/>
    <w:rsid w:val="007954C9"/>
    <w:rsid w:val="00795607"/>
    <w:rsid w:val="007956A1"/>
    <w:rsid w:val="007958B5"/>
    <w:rsid w:val="0079663D"/>
    <w:rsid w:val="0079690B"/>
    <w:rsid w:val="00796A2A"/>
    <w:rsid w:val="00796C48"/>
    <w:rsid w:val="00796FF6"/>
    <w:rsid w:val="007971E2"/>
    <w:rsid w:val="00797608"/>
    <w:rsid w:val="0079766F"/>
    <w:rsid w:val="007977A2"/>
    <w:rsid w:val="00797958"/>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2A2"/>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3869"/>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00A"/>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A86"/>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78A"/>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41"/>
    <w:rsid w:val="00850BC4"/>
    <w:rsid w:val="00850D93"/>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77C"/>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36"/>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84E"/>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E7F3F"/>
    <w:rsid w:val="008F0081"/>
    <w:rsid w:val="008F014E"/>
    <w:rsid w:val="008F03DD"/>
    <w:rsid w:val="008F067F"/>
    <w:rsid w:val="008F0D21"/>
    <w:rsid w:val="008F0EA2"/>
    <w:rsid w:val="008F0FDF"/>
    <w:rsid w:val="008F11C7"/>
    <w:rsid w:val="008F158C"/>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474"/>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991"/>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10"/>
    <w:rsid w:val="00920F9A"/>
    <w:rsid w:val="00921326"/>
    <w:rsid w:val="0092153D"/>
    <w:rsid w:val="0092155F"/>
    <w:rsid w:val="0092181F"/>
    <w:rsid w:val="009218C9"/>
    <w:rsid w:val="00921A85"/>
    <w:rsid w:val="00921C45"/>
    <w:rsid w:val="00922C42"/>
    <w:rsid w:val="00922D8C"/>
    <w:rsid w:val="00922DA2"/>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39E"/>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2F8"/>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B7E42"/>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603"/>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90B"/>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5D88"/>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0D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38A"/>
    <w:rsid w:val="00A405CC"/>
    <w:rsid w:val="00A40C9C"/>
    <w:rsid w:val="00A40DF8"/>
    <w:rsid w:val="00A40F55"/>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5A32"/>
    <w:rsid w:val="00A561DB"/>
    <w:rsid w:val="00A56773"/>
    <w:rsid w:val="00A568D5"/>
    <w:rsid w:val="00A57617"/>
    <w:rsid w:val="00A57896"/>
    <w:rsid w:val="00A57D1E"/>
    <w:rsid w:val="00A57F6B"/>
    <w:rsid w:val="00A603B7"/>
    <w:rsid w:val="00A603C2"/>
    <w:rsid w:val="00A60406"/>
    <w:rsid w:val="00A607B5"/>
    <w:rsid w:val="00A60D5F"/>
    <w:rsid w:val="00A61121"/>
    <w:rsid w:val="00A616B6"/>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B98"/>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694"/>
    <w:rsid w:val="00A7774A"/>
    <w:rsid w:val="00A777FF"/>
    <w:rsid w:val="00A77F45"/>
    <w:rsid w:val="00A805B3"/>
    <w:rsid w:val="00A80637"/>
    <w:rsid w:val="00A8064E"/>
    <w:rsid w:val="00A809C4"/>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AB2"/>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C79"/>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0F"/>
    <w:rsid w:val="00B06D43"/>
    <w:rsid w:val="00B07366"/>
    <w:rsid w:val="00B077C4"/>
    <w:rsid w:val="00B078FA"/>
    <w:rsid w:val="00B100B7"/>
    <w:rsid w:val="00B103BE"/>
    <w:rsid w:val="00B103C1"/>
    <w:rsid w:val="00B1064C"/>
    <w:rsid w:val="00B10787"/>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13F"/>
    <w:rsid w:val="00B412B1"/>
    <w:rsid w:val="00B41398"/>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1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CD6"/>
    <w:rsid w:val="00BD1E5C"/>
    <w:rsid w:val="00BD20FC"/>
    <w:rsid w:val="00BD27A6"/>
    <w:rsid w:val="00BD2FE3"/>
    <w:rsid w:val="00BD3BFC"/>
    <w:rsid w:val="00BD3D08"/>
    <w:rsid w:val="00BD4160"/>
    <w:rsid w:val="00BD43C8"/>
    <w:rsid w:val="00BD4484"/>
    <w:rsid w:val="00BD4564"/>
    <w:rsid w:val="00BD4839"/>
    <w:rsid w:val="00BD504C"/>
    <w:rsid w:val="00BD5152"/>
    <w:rsid w:val="00BD57C1"/>
    <w:rsid w:val="00BD5D1D"/>
    <w:rsid w:val="00BD5F07"/>
    <w:rsid w:val="00BD5F32"/>
    <w:rsid w:val="00BD5FA2"/>
    <w:rsid w:val="00BD5FE2"/>
    <w:rsid w:val="00BD6139"/>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41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842"/>
    <w:rsid w:val="00C23A3C"/>
    <w:rsid w:val="00C23D23"/>
    <w:rsid w:val="00C246C0"/>
    <w:rsid w:val="00C246E4"/>
    <w:rsid w:val="00C2485E"/>
    <w:rsid w:val="00C24A85"/>
    <w:rsid w:val="00C24B08"/>
    <w:rsid w:val="00C24F10"/>
    <w:rsid w:val="00C24F70"/>
    <w:rsid w:val="00C252AA"/>
    <w:rsid w:val="00C25454"/>
    <w:rsid w:val="00C2587F"/>
    <w:rsid w:val="00C25990"/>
    <w:rsid w:val="00C26039"/>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5FD0"/>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87F54"/>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2A"/>
    <w:rsid w:val="00C95C39"/>
    <w:rsid w:val="00C95E18"/>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815"/>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752"/>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1A"/>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57D0D"/>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41"/>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A05"/>
    <w:rsid w:val="00DA2B3D"/>
    <w:rsid w:val="00DA2CB1"/>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8DE"/>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4BE"/>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060"/>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5F75"/>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4C3"/>
    <w:rsid w:val="00E30D50"/>
    <w:rsid w:val="00E30EA0"/>
    <w:rsid w:val="00E31015"/>
    <w:rsid w:val="00E31054"/>
    <w:rsid w:val="00E311C5"/>
    <w:rsid w:val="00E315FD"/>
    <w:rsid w:val="00E3171D"/>
    <w:rsid w:val="00E31838"/>
    <w:rsid w:val="00E31887"/>
    <w:rsid w:val="00E318DF"/>
    <w:rsid w:val="00E31966"/>
    <w:rsid w:val="00E31D5B"/>
    <w:rsid w:val="00E3238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2863"/>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7E2"/>
    <w:rsid w:val="00E7293B"/>
    <w:rsid w:val="00E72A66"/>
    <w:rsid w:val="00E72FAB"/>
    <w:rsid w:val="00E73098"/>
    <w:rsid w:val="00E7311D"/>
    <w:rsid w:val="00E731BB"/>
    <w:rsid w:val="00E732B0"/>
    <w:rsid w:val="00E7353E"/>
    <w:rsid w:val="00E735BD"/>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4C"/>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5F5"/>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8F8"/>
    <w:rsid w:val="00EF1955"/>
    <w:rsid w:val="00EF1A1B"/>
    <w:rsid w:val="00EF1A1E"/>
    <w:rsid w:val="00EF1CFA"/>
    <w:rsid w:val="00EF2283"/>
    <w:rsid w:val="00EF2329"/>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4D8"/>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3DB"/>
    <w:rsid w:val="00F2151F"/>
    <w:rsid w:val="00F21950"/>
    <w:rsid w:val="00F21D75"/>
    <w:rsid w:val="00F21D9B"/>
    <w:rsid w:val="00F227E7"/>
    <w:rsid w:val="00F229F5"/>
    <w:rsid w:val="00F22BDC"/>
    <w:rsid w:val="00F22BE6"/>
    <w:rsid w:val="00F2389C"/>
    <w:rsid w:val="00F239A7"/>
    <w:rsid w:val="00F23FB9"/>
    <w:rsid w:val="00F24003"/>
    <w:rsid w:val="00F242F1"/>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37"/>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B1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6DD03199"/>
    <w:rsid w:val="702E1B46"/>
    <w:rsid w:val="704A599A"/>
    <w:rsid w:val="72F032BB"/>
    <w:rsid w:val="760153A9"/>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1"/>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0"/>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7"/>
    <w:semiHidden/>
    <w:unhideWhenUsed/>
    <w:qFormat/>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3 Char"/>
    <w:basedOn w:val="17"/>
    <w:link w:val="4"/>
    <w:qFormat/>
    <w:uiPriority w:val="9"/>
    <w:rPr>
      <w:rFonts w:eastAsia="仿宋"/>
      <w:b/>
      <w:bCs/>
      <w:kern w:val="2"/>
      <w:sz w:val="32"/>
      <w:szCs w:val="32"/>
    </w:rPr>
  </w:style>
  <w:style w:type="character" w:customStyle="1" w:styleId="21">
    <w:name w:val="标题 2 Char"/>
    <w:basedOn w:val="17"/>
    <w:link w:val="3"/>
    <w:qFormat/>
    <w:uiPriority w:val="9"/>
    <w:rPr>
      <w:rFonts w:eastAsia="楷体" w:asciiTheme="majorHAnsi" w:hAnsiTheme="majorHAnsi" w:cstheme="majorBidi"/>
      <w:b/>
      <w:bCs/>
      <w:kern w:val="2"/>
      <w:sz w:val="32"/>
      <w:szCs w:val="32"/>
    </w:rPr>
  </w:style>
  <w:style w:type="character" w:customStyle="1" w:styleId="22">
    <w:name w:val="标题 1 Char"/>
    <w:basedOn w:val="17"/>
    <w:link w:val="2"/>
    <w:qFormat/>
    <w:uiPriority w:val="9"/>
    <w:rPr>
      <w:rFonts w:eastAsia="黑体"/>
      <w:bCs/>
      <w:kern w:val="44"/>
      <w:sz w:val="32"/>
      <w:szCs w:val="44"/>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批注框文本 Char"/>
    <w:basedOn w:val="17"/>
    <w:link w:val="8"/>
    <w:semiHidden/>
    <w:qFormat/>
    <w:uiPriority w:val="99"/>
    <w:rPr>
      <w:sz w:val="18"/>
      <w:szCs w:val="18"/>
    </w:rPr>
  </w:style>
  <w:style w:type="paragraph" w:styleId="26">
    <w:name w:val="No Spacing"/>
    <w:link w:val="27"/>
    <w:qFormat/>
    <w:uiPriority w:val="1"/>
    <w:rPr>
      <w:rFonts w:asciiTheme="minorHAnsi" w:hAnsiTheme="minorHAnsi" w:eastAsiaTheme="minorEastAsia" w:cstheme="minorBidi"/>
      <w:sz w:val="22"/>
      <w:szCs w:val="22"/>
      <w:lang w:val="en-US" w:eastAsia="zh-CN" w:bidi="ar-SA"/>
    </w:rPr>
  </w:style>
  <w:style w:type="character" w:customStyle="1" w:styleId="27">
    <w:name w:val="无间隔 Char"/>
    <w:basedOn w:val="17"/>
    <w:link w:val="26"/>
    <w:qFormat/>
    <w:uiPriority w:val="1"/>
    <w:rPr>
      <w:kern w:val="0"/>
      <w:sz w:val="2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locked/>
    <w:uiPriority w:val="99"/>
    <w:rPr>
      <w:rFonts w:ascii="Cambria" w:hAnsi="Cambria"/>
      <w:b/>
      <w:bCs/>
      <w:kern w:val="28"/>
      <w:sz w:val="32"/>
      <w:szCs w:val="32"/>
    </w:rPr>
  </w:style>
  <w:style w:type="character" w:customStyle="1" w:styleId="41">
    <w:name w:val="副标题 Char"/>
    <w:basedOn w:val="17"/>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DAFF5-BE77-4E85-A74A-98B100BC295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779</Words>
  <Characters>4443</Characters>
  <Lines>37</Lines>
  <Paragraphs>10</Paragraphs>
  <TotalTime>317</TotalTime>
  <ScaleCrop>false</ScaleCrop>
  <LinksUpToDate>false</LinksUpToDate>
  <CharactersWithSpaces>5212</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小小小小</cp:lastModifiedBy>
  <cp:lastPrinted>2021-06-10T02:43:00Z</cp:lastPrinted>
  <dcterms:modified xsi:type="dcterms:W3CDTF">2021-09-06T07:30:38Z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BD094FD3E1064899BFECEE8513582536</vt:lpwstr>
  </property>
  <property fmtid="{D5CDD505-2E9C-101B-9397-08002B2CF9AE}" pid="4" name="KSOSaveFontToCloudKey">
    <vt:lpwstr>301583558_cloud</vt:lpwstr>
  </property>
</Properties>
</file>