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Pr>
        <w:rPr>
          <w:rFonts w:ascii="宋体" w:hAnsi="宋体" w:eastAsia="宋体" w:cs="宋体"/>
          <w:b/>
          <w:sz w:val="32"/>
          <w:szCs w:val="32"/>
        </w:rPr>
      </w:pPr>
    </w:p>
    <w:p>
      <w:pPr>
        <w:rPr>
          <w:rFonts w:ascii="宋体" w:hAnsi="宋体" w:eastAsia="宋体" w:cs="宋体"/>
          <w:b/>
          <w:sz w:val="32"/>
          <w:szCs w:val="32"/>
        </w:rPr>
      </w:pPr>
    </w:p>
    <w:p>
      <w:pPr>
        <w:spacing w:line="420" w:lineRule="exact"/>
        <w:jc w:val="center"/>
        <w:rPr>
          <w:rStyle w:val="11"/>
          <w:rFonts w:ascii="仿宋" w:hAnsi="仿宋" w:eastAsia="仿宋" w:cs="仿宋"/>
          <w:sz w:val="36"/>
          <w:szCs w:val="36"/>
        </w:rPr>
      </w:pPr>
    </w:p>
    <w:p>
      <w:pPr>
        <w:spacing w:line="420" w:lineRule="exact"/>
        <w:jc w:val="center"/>
        <w:rPr>
          <w:rStyle w:val="11"/>
          <w:rFonts w:ascii="仿宋" w:hAnsi="仿宋" w:eastAsia="仿宋" w:cs="仿宋"/>
          <w:sz w:val="36"/>
          <w:szCs w:val="36"/>
        </w:rPr>
      </w:pPr>
    </w:p>
    <w:p>
      <w:pPr>
        <w:spacing w:line="420" w:lineRule="exact"/>
        <w:jc w:val="center"/>
        <w:rPr>
          <w:rFonts w:ascii="仿宋" w:hAnsi="仿宋" w:eastAsia="仿宋" w:cs="仿宋"/>
          <w:sz w:val="32"/>
          <w:szCs w:val="32"/>
        </w:rPr>
      </w:pPr>
      <w:r>
        <w:rPr>
          <w:rStyle w:val="11"/>
          <w:rFonts w:ascii="仿宋" w:hAnsi="仿宋" w:eastAsia="仿宋" w:cs="仿宋"/>
          <w:sz w:val="36"/>
          <w:szCs w:val="36"/>
        </w:rPr>
        <w:t>2020</w:t>
      </w:r>
      <w:r>
        <w:rPr>
          <w:rStyle w:val="11"/>
          <w:rFonts w:hint="eastAsia" w:ascii="仿宋" w:hAnsi="仿宋" w:eastAsia="仿宋" w:cs="仿宋"/>
          <w:sz w:val="36"/>
          <w:szCs w:val="36"/>
        </w:rPr>
        <w:t>年度南县司法局政府购买服务</w:t>
      </w:r>
    </w:p>
    <w:p>
      <w:pPr>
        <w:spacing w:line="420" w:lineRule="exact"/>
        <w:jc w:val="center"/>
        <w:rPr>
          <w:rFonts w:ascii="仿宋" w:hAnsi="仿宋" w:eastAsia="仿宋" w:cs="仿宋"/>
          <w:b/>
          <w:sz w:val="44"/>
          <w:szCs w:val="44"/>
        </w:rPr>
      </w:pPr>
    </w:p>
    <w:p>
      <w:pPr>
        <w:jc w:val="center"/>
        <w:rPr>
          <w:rFonts w:ascii="仿宋" w:hAnsi="仿宋" w:eastAsia="仿宋" w:cs="仿宋"/>
          <w:sz w:val="36"/>
          <w:szCs w:val="36"/>
        </w:rPr>
      </w:pPr>
      <w:r>
        <w:rPr>
          <w:rStyle w:val="11"/>
          <w:rFonts w:hint="eastAsia" w:ascii="仿宋" w:hAnsi="仿宋" w:eastAsia="仿宋" w:cs="仿宋"/>
          <w:sz w:val="36"/>
          <w:szCs w:val="36"/>
        </w:rPr>
        <w:t>财政专项资金绩效评价报告</w:t>
      </w:r>
    </w:p>
    <w:p>
      <w:pPr>
        <w:spacing w:line="420" w:lineRule="exact"/>
        <w:jc w:val="center"/>
        <w:rPr>
          <w:rFonts w:ascii="仿宋" w:hAnsi="仿宋" w:eastAsia="仿宋" w:cs="仿宋"/>
          <w:b/>
          <w:sz w:val="24"/>
        </w:rPr>
      </w:pPr>
    </w:p>
    <w:p>
      <w:pPr>
        <w:jc w:val="center"/>
        <w:rPr>
          <w:rFonts w:ascii="仿宋" w:hAnsi="仿宋" w:eastAsia="仿宋" w:cs="仿宋"/>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4"/>
          <w:cols w:space="720" w:num="1"/>
          <w:titlePg/>
          <w:docGrid w:linePitch="326" w:charSpace="0"/>
        </w:sectPr>
      </w:pPr>
      <w:r>
        <w:rPr>
          <w:rFonts w:hint="eastAsia" w:ascii="仿宋" w:hAnsi="仿宋" w:eastAsia="仿宋" w:cs="仿宋"/>
          <w:sz w:val="28"/>
          <w:szCs w:val="28"/>
        </w:rPr>
        <w:t>勤信湘专字【20</w:t>
      </w:r>
      <w:r>
        <w:rPr>
          <w:rFonts w:ascii="仿宋" w:hAnsi="仿宋" w:eastAsia="仿宋" w:cs="仿宋"/>
          <w:sz w:val="28"/>
          <w:szCs w:val="28"/>
        </w:rPr>
        <w:t>21</w:t>
      </w:r>
      <w:r>
        <w:rPr>
          <w:rFonts w:hint="eastAsia" w:ascii="仿宋" w:hAnsi="仿宋" w:eastAsia="仿宋" w:cs="仿宋"/>
          <w:sz w:val="28"/>
          <w:szCs w:val="28"/>
        </w:rPr>
        <w:t>】第</w:t>
      </w:r>
      <w:r>
        <w:rPr>
          <w:rFonts w:hint="eastAsia" w:ascii="仿宋" w:hAnsi="仿宋" w:eastAsia="仿宋" w:cs="仿宋"/>
          <w:sz w:val="28"/>
          <w:szCs w:val="28"/>
          <w:lang w:val="en-US" w:eastAsia="zh-CN"/>
        </w:rPr>
        <w:t>0061号</w:t>
      </w:r>
      <w:r>
        <w:rPr>
          <w:rFonts w:ascii="仿宋" w:hAnsi="仿宋" w:eastAsia="仿宋" w:cs="仿宋"/>
          <w:sz w:val="28"/>
          <w:szCs w:val="28"/>
        </w:rPr>
        <w:t xml:space="preserve"> </w:t>
      </w:r>
    </w:p>
    <w:p>
      <w:pPr>
        <w:spacing w:line="440" w:lineRule="exact"/>
        <w:rPr>
          <w:rFonts w:eastAsia="隶书"/>
          <w:spacing w:val="20"/>
          <w:sz w:val="18"/>
          <w:szCs w:val="18"/>
        </w:rPr>
      </w:pPr>
      <w:r>
        <w:rPr>
          <w:rFonts w:hint="eastAsia" w:ascii="华文隶书" w:hAnsi="华文隶书" w:eastAsia="华文隶书" w:cs="华文隶书"/>
          <w:spacing w:val="20"/>
          <w:sz w:val="28"/>
          <w:szCs w:val="18"/>
        </w:rPr>
        <w:t>中勤万信会计师事务所（特殊普通合伙）湖南分所</w:t>
      </w:r>
    </w:p>
    <w:p>
      <w:pPr>
        <w:tabs>
          <w:tab w:val="left" w:pos="240"/>
          <w:tab w:val="center" w:pos="4153"/>
          <w:tab w:val="left" w:pos="6960"/>
        </w:tabs>
        <w:snapToGrid w:val="0"/>
        <w:outlineLvl w:val="0"/>
        <w:rPr>
          <w:rFonts w:eastAsia="宋体"/>
          <w:sz w:val="18"/>
          <w:szCs w:val="18"/>
        </w:rPr>
      </w:pPr>
      <w:r>
        <w:rPr>
          <w:rFonts w:hint="eastAsia" w:eastAsia="宋体"/>
          <w:sz w:val="18"/>
          <w:szCs w:val="18"/>
        </w:rPr>
        <w:t>地址：</w:t>
      </w:r>
      <w:r>
        <w:rPr>
          <w:rFonts w:hint="eastAsia" w:ascii="宋体" w:hAnsi="宋体" w:eastAsia="宋体"/>
          <w:sz w:val="18"/>
          <w:szCs w:val="18"/>
        </w:rPr>
        <w:t>长沙市天心区芙蓉中路三段弘林国际大厦707房</w:t>
      </w:r>
    </w:p>
    <w:p>
      <w:pPr>
        <w:tabs>
          <w:tab w:val="left" w:pos="240"/>
          <w:tab w:val="center" w:pos="4153"/>
          <w:tab w:val="left" w:pos="6960"/>
        </w:tabs>
        <w:snapToGrid w:val="0"/>
        <w:rPr>
          <w:rFonts w:eastAsia="宋体"/>
          <w:sz w:val="18"/>
          <w:szCs w:val="18"/>
        </w:rPr>
      </w:pPr>
      <w:r>
        <w:rPr>
          <w:rFonts w:hint="eastAsia" w:eastAsia="宋体"/>
          <w:sz w:val="18"/>
          <w:szCs w:val="18"/>
        </w:rPr>
        <w:t>电话：</w:t>
      </w:r>
      <w:r>
        <w:rPr>
          <w:rFonts w:eastAsia="宋体"/>
          <w:sz w:val="18"/>
          <w:szCs w:val="18"/>
        </w:rPr>
        <w:t>0731-82561635</w:t>
      </w:r>
    </w:p>
    <w:p>
      <w:pPr>
        <w:tabs>
          <w:tab w:val="left" w:pos="240"/>
          <w:tab w:val="center" w:pos="4153"/>
          <w:tab w:val="left" w:pos="6960"/>
        </w:tabs>
        <w:snapToGrid w:val="0"/>
        <w:rPr>
          <w:rFonts w:eastAsia="宋体"/>
          <w:sz w:val="18"/>
          <w:szCs w:val="18"/>
        </w:rPr>
      </w:pPr>
      <w:r>
        <w:rPr>
          <w:rFonts w:hint="eastAsia" w:eastAsia="宋体"/>
          <w:sz w:val="18"/>
          <w:szCs w:val="18"/>
        </w:rPr>
        <w:t>传真：</w:t>
      </w:r>
      <w:r>
        <w:rPr>
          <w:rFonts w:eastAsia="宋体"/>
          <w:sz w:val="18"/>
          <w:szCs w:val="18"/>
        </w:rPr>
        <w:t>0731-82561635-8001</w:t>
      </w:r>
    </w:p>
    <w:p>
      <w:pPr>
        <w:tabs>
          <w:tab w:val="center" w:pos="4153"/>
          <w:tab w:val="right" w:pos="8306"/>
        </w:tabs>
        <w:snapToGrid w:val="0"/>
        <w:rPr>
          <w:rFonts w:eastAsia="宋体"/>
          <w:sz w:val="18"/>
          <w:szCs w:val="18"/>
        </w:rPr>
      </w:pPr>
      <w:r>
        <w:rPr>
          <w:rFonts w:hint="eastAsia" w:eastAsia="宋体"/>
          <w:sz w:val="18"/>
          <w:szCs w:val="18"/>
        </w:rPr>
        <w:t>邮编：410000</w:t>
      </w:r>
    </w:p>
    <w:p>
      <w:pPr>
        <w:spacing w:line="360" w:lineRule="exact"/>
        <w:ind w:right="215"/>
        <w:rPr>
          <w:rFonts w:eastAsia="宋体"/>
          <w:sz w:val="22"/>
        </w:rPr>
      </w:pPr>
      <w:r>
        <w:rPr>
          <w:rFonts w:eastAsia="宋体"/>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65405</wp:posOffset>
                </wp:positionV>
                <wp:extent cx="220980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V="1">
                          <a:off x="0" y="0"/>
                          <a:ext cx="22098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0.05pt;margin-top:5.15pt;height:0pt;width:174pt;z-index:251659264;mso-width-relative:page;mso-height-relative:page;" filled="f" stroked="t" coordsize="21600,21600" o:gfxdata="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22&#10;5O3TAAAABwEAAA8AAAAAAAAAAQAgAAAAIgAAAGRycy9kb3ducmV2LnhtbFBLAQIUABQAAAAIAIdO&#10;4kDHSSQh7wEAAMIDAAAOAAAAAAAAAAEAIAAAACIBAABkcnMvZTJvRG9jLnhtbFBLBQYAAAAABgAG&#10;AFkBAACDBQAAAAA=&#10;">
                <v:fill on="f" focussize="0,0"/>
                <v:stroke color="#000000" joinstyle="round"/>
                <v:imagedata o:title=""/>
                <o:lock v:ext="edit" aspectratio="f"/>
              </v:line>
            </w:pict>
          </mc:Fallback>
        </mc:AlternateContent>
      </w:r>
    </w:p>
    <w:p>
      <w:pPr>
        <w:adjustRightInd w:val="0"/>
        <w:snapToGrid w:val="0"/>
        <w:spacing w:line="360" w:lineRule="auto"/>
        <w:rPr>
          <w:rFonts w:ascii="宋体" w:hAnsi="宋体" w:eastAsia="宋体" w:cs="宋体"/>
          <w:b/>
          <w:bCs/>
          <w:sz w:val="36"/>
          <w:szCs w:val="36"/>
        </w:rPr>
      </w:pPr>
      <w:r>
        <w:rPr>
          <w:rFonts w:hint="eastAsia" w:ascii="仿宋" w:hAnsi="仿宋"/>
          <w:b/>
          <w:bCs/>
          <w:szCs w:val="32"/>
        </w:rPr>
        <w:t xml:space="preserve">              </w:t>
      </w:r>
      <w:r>
        <w:rPr>
          <w:rFonts w:hint="eastAsia" w:ascii="宋体" w:hAnsi="宋体" w:eastAsia="宋体" w:cs="宋体"/>
          <w:b/>
          <w:bCs/>
          <w:sz w:val="36"/>
          <w:szCs w:val="36"/>
        </w:rPr>
        <w:t>2020年度南县</w:t>
      </w:r>
      <w:r>
        <w:rPr>
          <w:rStyle w:val="11"/>
          <w:rFonts w:hint="eastAsia" w:ascii="仿宋" w:hAnsi="仿宋" w:eastAsia="仿宋" w:cs="仿宋"/>
          <w:sz w:val="36"/>
          <w:szCs w:val="36"/>
        </w:rPr>
        <w:t>司法局政府购买服务</w:t>
      </w:r>
    </w:p>
    <w:p>
      <w:pPr>
        <w:adjustRightInd w:val="0"/>
        <w:snapToGrid w:val="0"/>
        <w:spacing w:line="360" w:lineRule="auto"/>
        <w:jc w:val="center"/>
        <w:rPr>
          <w:rFonts w:ascii="宋体" w:hAnsi="宋体" w:eastAsia="宋体" w:cs="宋体"/>
          <w:b/>
          <w:bCs/>
          <w:sz w:val="36"/>
          <w:szCs w:val="36"/>
        </w:rPr>
      </w:pPr>
      <w:r>
        <w:rPr>
          <w:rFonts w:hint="eastAsia" w:ascii="宋体" w:hAnsi="宋体" w:eastAsia="宋体" w:cs="宋体"/>
          <w:b/>
          <w:bCs/>
          <w:sz w:val="36"/>
          <w:szCs w:val="36"/>
        </w:rPr>
        <w:t>专项资金绩效评价报告</w:t>
      </w:r>
    </w:p>
    <w:p>
      <w:pPr>
        <w:adjustRightInd w:val="0"/>
        <w:snapToGrid w:val="0"/>
        <w:spacing w:before="218" w:beforeLines="70" w:after="218" w:afterLines="70"/>
        <w:jc w:val="right"/>
        <w:rPr>
          <w:rFonts w:ascii="Times New Roman" w:hAnsi="Times New Roman" w:eastAsia="宋体" w:cs="Times New Roman"/>
          <w:szCs w:val="21"/>
        </w:rPr>
      </w:pPr>
      <w:r>
        <w:rPr>
          <w:rFonts w:hint="eastAsia" w:ascii="宋体" w:hAnsi="宋体" w:eastAsia="宋体" w:cs="宋体"/>
          <w:color w:val="000000" w:themeColor="text1"/>
          <w:sz w:val="24"/>
          <w14:textFill>
            <w14:solidFill>
              <w14:schemeClr w14:val="tx1"/>
            </w14:solidFill>
          </w14:textFill>
        </w:rPr>
        <w:t xml:space="preserve">                </w:t>
      </w:r>
      <w:r>
        <w:rPr>
          <w:rFonts w:ascii="Times New Roman" w:hAnsi="Times New Roman" w:eastAsia="宋体" w:cs="Times New Roman"/>
          <w:szCs w:val="21"/>
        </w:rPr>
        <w:t>勤信湘专字【20</w:t>
      </w:r>
      <w:r>
        <w:rPr>
          <w:rFonts w:hint="eastAsia" w:ascii="Times New Roman" w:hAnsi="Times New Roman" w:eastAsia="宋体" w:cs="Times New Roman"/>
          <w:szCs w:val="21"/>
        </w:rPr>
        <w:t>21</w:t>
      </w:r>
      <w:r>
        <w:rPr>
          <w:rFonts w:ascii="Times New Roman" w:hAnsi="Times New Roman" w:eastAsia="宋体" w:cs="Times New Roman"/>
          <w:szCs w:val="21"/>
        </w:rPr>
        <w:t>】第00</w:t>
      </w:r>
      <w:r>
        <w:rPr>
          <w:rFonts w:hint="eastAsia" w:ascii="Times New Roman" w:hAnsi="Times New Roman" w:eastAsia="宋体" w:cs="Times New Roman"/>
          <w:szCs w:val="21"/>
          <w:lang w:val="en-US" w:eastAsia="zh-CN"/>
        </w:rPr>
        <w:t>61</w:t>
      </w:r>
      <w:bookmarkStart w:id="0" w:name="_GoBack"/>
      <w:bookmarkEnd w:id="0"/>
      <w:r>
        <w:rPr>
          <w:rFonts w:ascii="Times New Roman" w:hAnsi="Times New Roman" w:eastAsia="宋体" w:cs="Times New Roman"/>
          <w:szCs w:val="21"/>
        </w:rPr>
        <w:t>号</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为进一步规范财政资金管理，强化财政资金支出绩效理念，切实提高财政资金使用效益，根据《中共中央国务院关于全面实施预算绩效管理的意见》（中发〔2018〕34号）、《中共湖南省委办公厅、湖南省人民政府办公厅关于全面实施预算绩效管理的实施意见》（湘办发〔2019〕10号）《湖南省财政厅关于印发&lt;湖南省预算支出绩效评价管理办法&gt;的通知》（湘财绩〔2020〕7号）、《湖南省财政厅关于认真做好委托中介机构参与预算绩效管理工作的通知》（湘财绩〔2012〕11号）等预算绩效文件的要求，受南县财政局委托，中勤万信会计师事务所湖南分所于2021年5月7日至6月3日对2020年度南县司法局政府购买服务财政专项资金实施了绩效评价，评价采用定量分析和定性分析相结合的方法，在项目自评价的基础上对项目从预算编制与执行、资金分配与使用、资金监督与管理及财务会计信息、项目组织管理、项目绩效完成等方面进行综合评价。现将有关情况报告如下:</w:t>
      </w:r>
    </w:p>
    <w:p>
      <w:pPr>
        <w:pStyle w:val="2"/>
        <w:spacing w:before="0" w:after="0" w:line="580" w:lineRule="exact"/>
        <w:ind w:firstLine="640" w:firstLineChars="200"/>
        <w:rPr>
          <w:kern w:val="32"/>
        </w:rPr>
      </w:pPr>
      <w:r>
        <w:rPr>
          <w:rFonts w:hint="eastAsia"/>
          <w:kern w:val="32"/>
        </w:rPr>
        <w:t>一、项目基本情况概述</w:t>
      </w:r>
    </w:p>
    <w:p>
      <w:pPr>
        <w:pStyle w:val="3"/>
        <w:numPr>
          <w:ilvl w:val="0"/>
          <w:numId w:val="1"/>
        </w:numPr>
        <w:spacing w:before="0" w:after="0" w:line="580" w:lineRule="exact"/>
        <w:ind w:firstLine="643" w:firstLineChars="200"/>
        <w:rPr>
          <w:rFonts w:ascii="仿宋" w:hAnsi="仿宋" w:eastAsia="仿宋" w:cs="仿宋"/>
        </w:rPr>
      </w:pPr>
      <w:r>
        <w:rPr>
          <w:rFonts w:hint="eastAsia" w:ascii="仿宋" w:hAnsi="仿宋" w:eastAsia="仿宋" w:cs="仿宋"/>
        </w:rPr>
        <w:t>项目基本情况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南县司法局是县人民政府主管人民调解、社区矫正安置帮教、法治宣传、法律援助、司法鉴定、公证服务、律师管理等业务的司法行政部门。政府购买服务专项是指通过市场行为将司法局部分服务事项，按照县级相关方式和程序，交由具备条件的社会力量承担，按照合同约定向其支付费用的行为。该专项经费就是为了保证社区矫正工作及公共法律服务工作的正常开展。项目概述：通过劳务派遣等形式补充专业人员，增加专业力量做好司法行政工作。立项依据：南县人民政府常务会议纪要【2015】1号。项目绩效目标：维护社会长期稳定，建设法治社会，为人民群众提供法律服务。2020年通过委托国盛保安公司招聘社区矫正社会工作者20名，保证律师每日坐班工作。</w:t>
      </w:r>
    </w:p>
    <w:p>
      <w:pPr>
        <w:pStyle w:val="2"/>
        <w:spacing w:before="0" w:after="0" w:line="580" w:lineRule="exact"/>
        <w:ind w:firstLine="640" w:firstLineChars="200"/>
        <w:rPr>
          <w:kern w:val="32"/>
        </w:rPr>
      </w:pPr>
      <w:r>
        <w:rPr>
          <w:rFonts w:hint="eastAsia"/>
          <w:kern w:val="32"/>
        </w:rPr>
        <w:t>二、绩效评价工作情况</w:t>
      </w:r>
    </w:p>
    <w:p>
      <w:pPr>
        <w:pStyle w:val="3"/>
        <w:numPr>
          <w:ilvl w:val="0"/>
          <w:numId w:val="2"/>
        </w:numPr>
        <w:spacing w:before="0" w:after="0" w:line="580" w:lineRule="exact"/>
        <w:rPr>
          <w:rFonts w:ascii="仿宋" w:hAnsi="仿宋" w:eastAsia="仿宋" w:cs="仿宋"/>
        </w:rPr>
      </w:pPr>
      <w:r>
        <w:rPr>
          <w:rFonts w:hint="eastAsia" w:ascii="仿宋" w:hAnsi="仿宋" w:eastAsia="仿宋" w:cs="仿宋"/>
        </w:rPr>
        <w:t>绩效评价目的</w:t>
      </w:r>
    </w:p>
    <w:p>
      <w:pPr>
        <w:ind w:firstLine="640" w:firstLineChars="200"/>
        <w:rPr>
          <w:rFonts w:ascii="仿宋" w:hAnsi="仿宋" w:eastAsia="仿宋" w:cs="仿宋"/>
          <w:sz w:val="32"/>
          <w:szCs w:val="32"/>
        </w:rPr>
      </w:pPr>
      <w:r>
        <w:rPr>
          <w:rFonts w:hint="eastAsia" w:ascii="仿宋" w:hAnsi="仿宋" w:eastAsia="仿宋" w:cs="仿宋"/>
          <w:sz w:val="32"/>
          <w:szCs w:val="32"/>
        </w:rPr>
        <w:t>通过对南县司法局2020年政府购买服务专项资金的绩效评价，全面跟踪政府购买服务专项资金的来源、使用和管理情况；项目的申报、项目的审批、项目的组织实施及事后的考核情况；评价政府购买服务专项资金使用是否达到预期目标，资金使用是否有效益；总结经验，分析问题，强化政府购买服务专项资金的管理，为以后政府购买服务专项资金的管理和预算安排提供参考依据。</w:t>
      </w:r>
    </w:p>
    <w:p>
      <w:pPr>
        <w:pStyle w:val="3"/>
        <w:numPr>
          <w:ilvl w:val="0"/>
          <w:numId w:val="2"/>
        </w:numPr>
        <w:spacing w:before="0" w:after="0" w:line="580" w:lineRule="exact"/>
        <w:rPr>
          <w:rFonts w:ascii="仿宋" w:hAnsi="仿宋" w:eastAsia="仿宋" w:cs="仿宋"/>
        </w:rPr>
      </w:pPr>
      <w:r>
        <w:rPr>
          <w:rFonts w:hint="eastAsia" w:ascii="仿宋" w:hAnsi="仿宋" w:eastAsia="仿宋" w:cs="仿宋"/>
        </w:rPr>
        <w:t>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遵循科学公正、统筹兼顾、激励约束、公开透明原则。</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财政部《财政支出绩效评价管理暂行办法》（财预〔2011〕285号）、《湖南省预算绩效管理工作规程（试行）》（湘财绩〔2013〕28号）、《湖南省人民政府关于全面推进预算绩效管理的意见》（湘政发〔2012〕33号）、</w:t>
      </w:r>
      <w:r>
        <w:rPr>
          <w:rFonts w:hint="eastAsia" w:ascii="Times New Roman" w:hAnsi="Times New Roman" w:eastAsia="仿宋" w:cs="Times New Roman"/>
          <w:sz w:val="32"/>
          <w:szCs w:val="32"/>
          <w:shd w:val="clear" w:color="auto" w:fill="FFFFFF"/>
        </w:rPr>
        <w:t>《关于对2020年度专项资金开展重点绩效评价工作的通知》（南财绩函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）等政策文件</w:t>
      </w:r>
      <w:r>
        <w:rPr>
          <w:rFonts w:hint="eastAsia" w:ascii="仿宋" w:hAnsi="仿宋" w:eastAsia="仿宋" w:cs="仿宋"/>
          <w:sz w:val="32"/>
          <w:szCs w:val="32"/>
        </w:rPr>
        <w:t>，按照相关性、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制定评价指标体系。指标体系分项目申请、资金分配、资金使用管理、项目实施过程和项目成果和效益六个部分，根据项目实施的具体情况对个性指标进行了调整细化形成《南县2020年度司法局政府购买服务项目资金绩效评价指标评价表》（附件2）。</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p>
    <w:p>
      <w:pPr>
        <w:spacing w:line="630" w:lineRule="exact"/>
        <w:ind w:firstLine="640" w:firstLineChars="200"/>
        <w:rPr>
          <w:rFonts w:ascii="Times New Roman" w:hAnsi="Times New Roman" w:eastAsia="仿宋"/>
          <w:sz w:val="32"/>
          <w:szCs w:val="32"/>
        </w:rPr>
      </w:pPr>
      <w:r>
        <w:rPr>
          <w:rFonts w:hint="eastAsia" w:ascii="仿宋" w:hAnsi="仿宋" w:eastAsia="仿宋" w:cs="仿宋"/>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Pr>
          <w:rFonts w:ascii="Times New Roman" w:hAnsi="Times New Roman" w:eastAsia="仿宋"/>
          <w:sz w:val="32"/>
          <w:szCs w:val="32"/>
          <w:shd w:val="clear" w:color="auto" w:fill="FFFFFF"/>
        </w:rPr>
        <w:t>绩效评价工作组于</w:t>
      </w:r>
      <w:r>
        <w:rPr>
          <w:rFonts w:hint="eastAsia" w:ascii="Times New Roman" w:hAnsi="Times New Roman" w:eastAsia="仿宋"/>
          <w:sz w:val="32"/>
          <w:szCs w:val="32"/>
          <w:shd w:val="clear" w:color="auto" w:fill="FFFFFF"/>
        </w:rPr>
        <w:t>5月中旬前往南县司法局</w:t>
      </w:r>
      <w:r>
        <w:rPr>
          <w:rFonts w:ascii="Times New Roman" w:hAnsi="Times New Roman" w:eastAsia="仿宋"/>
          <w:sz w:val="32"/>
          <w:szCs w:val="32"/>
          <w:shd w:val="clear" w:color="auto" w:fill="FFFFFF"/>
        </w:rPr>
        <w:t>实施现场评价</w:t>
      </w:r>
      <w:r>
        <w:rPr>
          <w:rFonts w:ascii="Times New Roman" w:hAnsi="Times New Roman" w:eastAsia="仿宋"/>
          <w:sz w:val="32"/>
          <w:szCs w:val="32"/>
        </w:rPr>
        <w:t>，现场评价主要采取以下方式：一是召开座谈会，听取县财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4、绩效评价工作实施过程</w:t>
      </w:r>
    </w:p>
    <w:p>
      <w:pPr>
        <w:spacing w:line="630" w:lineRule="exact"/>
        <w:ind w:firstLine="640" w:firstLineChars="200"/>
        <w:rPr>
          <w:rFonts w:ascii="仿宋" w:hAnsi="仿宋" w:eastAsia="仿宋" w:cs="仿宋"/>
          <w:sz w:val="32"/>
          <w:szCs w:val="32"/>
        </w:rPr>
      </w:pPr>
      <w:r>
        <w:rPr>
          <w:rFonts w:ascii="Times New Roman" w:hAnsi="Times New Roman" w:eastAsia="仿宋"/>
          <w:sz w:val="32"/>
          <w:szCs w:val="32"/>
        </w:rPr>
        <w:t>通过现场评价，</w:t>
      </w:r>
      <w:r>
        <w:rPr>
          <w:rFonts w:ascii="Times New Roman" w:hAnsi="Times New Roman" w:eastAsia="仿宋"/>
          <w:sz w:val="32"/>
          <w:szCs w:val="32"/>
          <w:shd w:val="clear" w:color="auto" w:fill="FFFFFF"/>
        </w:rPr>
        <w:t>绩效评价工作组</w:t>
      </w:r>
      <w:r>
        <w:rPr>
          <w:rFonts w:ascii="Times New Roman" w:hAnsi="Times New Roman" w:eastAsia="仿宋"/>
          <w:sz w:val="32"/>
          <w:szCs w:val="32"/>
        </w:rPr>
        <w:t>深入项目实施单位，实地查看项目现场，查阅相关资料，获取了大量一手资料，结合项目单位自评情况，通过对项目进行统计分析，采用定量与定性相结合的方法，</w:t>
      </w:r>
      <w:r>
        <w:rPr>
          <w:rFonts w:hint="eastAsia" w:ascii="Times New Roman" w:hAnsi="Times New Roman" w:eastAsia="仿宋"/>
          <w:sz w:val="32"/>
          <w:szCs w:val="32"/>
        </w:rPr>
        <w:t>形成评价结论，根据《</w:t>
      </w:r>
      <w:r>
        <w:rPr>
          <w:rFonts w:hint="eastAsia" w:ascii="仿宋" w:hAnsi="仿宋" w:eastAsia="仿宋" w:cs="仿宋"/>
          <w:sz w:val="32"/>
          <w:szCs w:val="32"/>
        </w:rPr>
        <w:t>南县2020年度司法局政府购买服务项目资金绩效评价指标评价表</w:t>
      </w:r>
      <w:r>
        <w:rPr>
          <w:rFonts w:hint="eastAsia" w:ascii="Times New Roman" w:hAnsi="Times New Roman" w:eastAsia="仿宋"/>
          <w:sz w:val="32"/>
          <w:szCs w:val="32"/>
        </w:rPr>
        <w:t>》进行评分，最终形成书面报告。</w:t>
      </w:r>
    </w:p>
    <w:p>
      <w:pPr>
        <w:pStyle w:val="2"/>
        <w:spacing w:before="0" w:after="0" w:line="580" w:lineRule="exact"/>
        <w:ind w:firstLine="640" w:firstLineChars="200"/>
        <w:rPr>
          <w:kern w:val="32"/>
        </w:rPr>
      </w:pPr>
      <w:r>
        <w:rPr>
          <w:rFonts w:hint="eastAsia"/>
          <w:kern w:val="32"/>
        </w:rPr>
        <w:t>三、现场评价专项资金的基本情况</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（一）项目资金到位情况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南县司法局20</w:t>
      </w:r>
      <w:r>
        <w:rPr>
          <w:rFonts w:ascii="仿宋" w:hAnsi="仿宋" w:eastAsia="仿宋" w:cs="仿宋"/>
          <w:sz w:val="32"/>
          <w:szCs w:val="32"/>
        </w:rPr>
        <w:t>20</w:t>
      </w:r>
      <w:r>
        <w:rPr>
          <w:rFonts w:hint="eastAsia" w:ascii="仿宋" w:hAnsi="仿宋" w:eastAsia="仿宋" w:cs="仿宋"/>
          <w:sz w:val="32"/>
          <w:szCs w:val="32"/>
        </w:rPr>
        <w:t>年度政府购买服务专项资金批准预算57.5万元。至2020年12月31日止已全部拨付到位。该专项资金全部为县财政本级专项，</w:t>
      </w:r>
      <w:r>
        <w:rPr>
          <w:rFonts w:ascii="Times New Roman" w:hAnsi="Times New Roman" w:eastAsia="仿宋"/>
          <w:sz w:val="32"/>
          <w:szCs w:val="32"/>
        </w:rPr>
        <w:t>资金到位率100.00%</w:t>
      </w:r>
      <w:r>
        <w:rPr>
          <w:rFonts w:hint="eastAsia" w:ascii="仿宋" w:hAnsi="仿宋" w:eastAsia="仿宋" w:cs="仿宋"/>
          <w:sz w:val="32"/>
          <w:szCs w:val="32"/>
        </w:rPr>
        <w:t>。</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（二）项目资金使用情况</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2020年南县财政局已拨付政府购买服务专项资金57.5万元，实际支出57.32万元，非本专项使用资金0.18万元，资金使用率100%，专账上显示剩余专项指标资金0.18万元，实际由司法局其他支出占用无结余。具体支出列示如下表：（详见附件1）</w:t>
      </w:r>
    </w:p>
    <w:tbl>
      <w:tblPr>
        <w:tblStyle w:val="9"/>
        <w:tblW w:w="9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gridCol w:w="3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13"/>
              <w:jc w:val="center"/>
              <w:rPr>
                <w:rFonts w:ascii="仿宋" w:hAnsi="仿宋" w:eastAsia="仿宋" w:cs="仿宋"/>
                <w:kern w:val="2"/>
                <w:sz w:val="32"/>
                <w:szCs w:val="32"/>
              </w:rPr>
            </w:pPr>
            <w:r>
              <w:rPr>
                <w:rFonts w:hint="eastAsia" w:ascii="仿宋" w:hAnsi="仿宋" w:eastAsia="仿宋" w:cs="仿宋"/>
                <w:kern w:val="2"/>
                <w:sz w:val="32"/>
                <w:szCs w:val="32"/>
              </w:rPr>
              <w:t>资金用途</w:t>
            </w:r>
          </w:p>
        </w:tc>
        <w:tc>
          <w:tcPr>
            <w:tcW w:w="3961" w:type="dxa"/>
            <w:vAlign w:val="center"/>
          </w:tcPr>
          <w:p>
            <w:pPr>
              <w:pStyle w:val="13"/>
              <w:jc w:val="center"/>
              <w:rPr>
                <w:rFonts w:ascii="仿宋" w:hAnsi="仿宋" w:eastAsia="仿宋" w:cs="仿宋"/>
                <w:kern w:val="2"/>
                <w:sz w:val="32"/>
                <w:szCs w:val="32"/>
              </w:rPr>
            </w:pPr>
            <w:r>
              <w:rPr>
                <w:rFonts w:hint="eastAsia" w:ascii="仿宋" w:hAnsi="仿宋" w:eastAsia="仿宋" w:cs="仿宋"/>
                <w:kern w:val="2"/>
                <w:sz w:val="32"/>
                <w:szCs w:val="32"/>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13"/>
              <w:jc w:val="both"/>
              <w:rPr>
                <w:rFonts w:ascii="仿宋" w:hAnsi="仿宋" w:eastAsia="仿宋" w:cs="仿宋"/>
                <w:kern w:val="2"/>
                <w:sz w:val="32"/>
                <w:szCs w:val="32"/>
              </w:rPr>
            </w:pPr>
            <w:r>
              <w:rPr>
                <w:rFonts w:hint="eastAsia" w:ascii="仿宋" w:hAnsi="仿宋" w:eastAsia="仿宋" w:cs="仿宋"/>
                <w:kern w:val="2"/>
                <w:sz w:val="32"/>
                <w:szCs w:val="32"/>
              </w:rPr>
              <w:t>人工费</w:t>
            </w:r>
          </w:p>
        </w:tc>
        <w:tc>
          <w:tcPr>
            <w:tcW w:w="3961" w:type="dxa"/>
            <w:vAlign w:val="center"/>
          </w:tcPr>
          <w:p>
            <w:pPr>
              <w:pStyle w:val="13"/>
              <w:jc w:val="right"/>
              <w:rPr>
                <w:rFonts w:ascii="仿宋" w:hAnsi="仿宋" w:eastAsia="仿宋" w:cs="仿宋"/>
                <w:kern w:val="2"/>
                <w:sz w:val="32"/>
                <w:szCs w:val="32"/>
              </w:rPr>
            </w:pPr>
            <w:r>
              <w:rPr>
                <w:rFonts w:hint="eastAsia" w:ascii="仿宋" w:hAnsi="仿宋" w:eastAsia="仿宋" w:cs="仿宋"/>
                <w:kern w:val="2"/>
                <w:sz w:val="32"/>
                <w:szCs w:val="32"/>
              </w:rPr>
              <w:t>573</w:t>
            </w:r>
            <w:r>
              <w:rPr>
                <w:rFonts w:ascii="仿宋" w:hAnsi="仿宋" w:eastAsia="仿宋" w:cs="仿宋"/>
                <w:kern w:val="2"/>
                <w:sz w:val="32"/>
                <w:szCs w:val="32"/>
              </w:rPr>
              <w:t>,</w:t>
            </w:r>
            <w:r>
              <w:rPr>
                <w:rFonts w:hint="eastAsia" w:ascii="仿宋" w:hAnsi="仿宋" w:eastAsia="仿宋" w:cs="仿宋"/>
                <w:kern w:val="2"/>
                <w:sz w:val="32"/>
                <w:szCs w:val="32"/>
              </w:rPr>
              <w:t>210</w:t>
            </w:r>
            <w:r>
              <w:rPr>
                <w:rFonts w:ascii="仿宋" w:hAnsi="仿宋" w:eastAsia="仿宋" w:cs="仿宋"/>
                <w:kern w:val="2"/>
                <w:sz w:val="32"/>
                <w:szCs w:val="3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353" w:type="dxa"/>
            <w:vAlign w:val="center"/>
          </w:tcPr>
          <w:p>
            <w:pPr>
              <w:pStyle w:val="13"/>
              <w:jc w:val="both"/>
              <w:rPr>
                <w:rFonts w:ascii="仿宋" w:hAnsi="仿宋" w:eastAsia="仿宋" w:cs="仿宋"/>
                <w:kern w:val="2"/>
                <w:sz w:val="32"/>
                <w:szCs w:val="32"/>
              </w:rPr>
            </w:pPr>
            <w:r>
              <w:rPr>
                <w:rFonts w:hint="eastAsia" w:ascii="仿宋" w:hAnsi="仿宋" w:eastAsia="仿宋" w:cs="仿宋"/>
                <w:kern w:val="2"/>
                <w:sz w:val="32"/>
                <w:szCs w:val="32"/>
              </w:rPr>
              <w:t>合计</w:t>
            </w:r>
          </w:p>
        </w:tc>
        <w:tc>
          <w:tcPr>
            <w:tcW w:w="3961" w:type="dxa"/>
            <w:vAlign w:val="center"/>
          </w:tcPr>
          <w:p>
            <w:pPr>
              <w:pStyle w:val="13"/>
              <w:jc w:val="right"/>
              <w:rPr>
                <w:rFonts w:ascii="仿宋" w:hAnsi="仿宋" w:eastAsia="仿宋" w:cs="仿宋"/>
                <w:kern w:val="2"/>
                <w:sz w:val="32"/>
                <w:szCs w:val="32"/>
              </w:rPr>
            </w:pPr>
            <w:r>
              <w:rPr>
                <w:rFonts w:hint="eastAsia" w:ascii="仿宋" w:hAnsi="仿宋" w:eastAsia="仿宋" w:cs="仿宋"/>
                <w:kern w:val="2"/>
                <w:sz w:val="32"/>
                <w:szCs w:val="32"/>
              </w:rPr>
              <w:t>573</w:t>
            </w:r>
            <w:r>
              <w:rPr>
                <w:rFonts w:ascii="仿宋" w:hAnsi="仿宋" w:eastAsia="仿宋" w:cs="仿宋"/>
                <w:kern w:val="2"/>
                <w:sz w:val="32"/>
                <w:szCs w:val="32"/>
              </w:rPr>
              <w:t>,</w:t>
            </w:r>
            <w:r>
              <w:rPr>
                <w:rFonts w:hint="eastAsia" w:ascii="仿宋" w:hAnsi="仿宋" w:eastAsia="仿宋" w:cs="仿宋"/>
                <w:kern w:val="2"/>
                <w:sz w:val="32"/>
                <w:szCs w:val="32"/>
              </w:rPr>
              <w:t>210</w:t>
            </w:r>
            <w:r>
              <w:rPr>
                <w:rFonts w:ascii="仿宋" w:hAnsi="仿宋" w:eastAsia="仿宋" w:cs="仿宋"/>
                <w:kern w:val="2"/>
                <w:sz w:val="32"/>
                <w:szCs w:val="32"/>
              </w:rPr>
              <w:t>.00</w:t>
            </w:r>
          </w:p>
        </w:tc>
      </w:tr>
    </w:tbl>
    <w:p>
      <w:pPr>
        <w:spacing w:line="630" w:lineRule="exact"/>
        <w:ind w:firstLine="643" w:firstLineChars="200"/>
        <w:outlineLvl w:val="2"/>
        <w:rPr>
          <w:rFonts w:ascii="仿宋" w:hAnsi="仿宋" w:eastAsia="仿宋" w:cs="仿宋"/>
          <w:b/>
          <w:bCs/>
          <w:sz w:val="32"/>
          <w:szCs w:val="32"/>
        </w:rPr>
      </w:pPr>
      <w:r>
        <w:rPr>
          <w:rFonts w:ascii="仿宋" w:hAnsi="仿宋" w:eastAsia="仿宋" w:cs="仿宋"/>
          <w:b/>
          <w:bCs/>
          <w:sz w:val="32"/>
          <w:szCs w:val="32"/>
        </w:rPr>
        <w:t>（三）</w:t>
      </w:r>
      <w:r>
        <w:rPr>
          <w:rFonts w:hint="eastAsia" w:ascii="仿宋" w:hAnsi="仿宋" w:eastAsia="仿宋" w:cs="仿宋"/>
          <w:b/>
          <w:bCs/>
          <w:sz w:val="32"/>
          <w:szCs w:val="32"/>
        </w:rPr>
        <w:t>项目资金管理情况</w:t>
      </w:r>
    </w:p>
    <w:p>
      <w:pPr>
        <w:spacing w:line="630" w:lineRule="exact"/>
        <w:ind w:firstLine="640" w:firstLineChars="200"/>
        <w:rPr>
          <w:rFonts w:ascii="仿宋" w:hAnsi="仿宋" w:eastAsia="仿宋" w:cs="仿宋"/>
          <w:bCs/>
          <w:sz w:val="32"/>
          <w:szCs w:val="32"/>
        </w:rPr>
      </w:pPr>
      <w:r>
        <w:rPr>
          <w:rFonts w:hint="eastAsia" w:ascii="仿宋" w:hAnsi="仿宋" w:eastAsia="仿宋" w:cs="仿宋"/>
          <w:bCs/>
          <w:sz w:val="32"/>
          <w:szCs w:val="32"/>
        </w:rPr>
        <w:t>司法局未</w:t>
      </w:r>
      <w:r>
        <w:rPr>
          <w:rFonts w:ascii="仿宋" w:hAnsi="仿宋" w:eastAsia="仿宋" w:cs="仿宋"/>
          <w:bCs/>
          <w:sz w:val="32"/>
          <w:szCs w:val="32"/>
        </w:rPr>
        <w:t>设置专项资金管理办法，</w:t>
      </w:r>
      <w:r>
        <w:rPr>
          <w:rFonts w:hint="eastAsia" w:ascii="仿宋" w:hAnsi="仿宋" w:eastAsia="仿宋" w:cs="仿宋"/>
          <w:bCs/>
          <w:sz w:val="32"/>
          <w:szCs w:val="32"/>
        </w:rPr>
        <w:t>已设置专账核算，</w:t>
      </w:r>
      <w:r>
        <w:rPr>
          <w:rFonts w:ascii="仿宋" w:hAnsi="仿宋" w:eastAsia="仿宋" w:cs="仿宋"/>
          <w:bCs/>
          <w:sz w:val="32"/>
          <w:szCs w:val="32"/>
        </w:rPr>
        <w:t>财务管理制度健全。</w:t>
      </w:r>
    </w:p>
    <w:p>
      <w:pPr>
        <w:pStyle w:val="2"/>
        <w:spacing w:before="0" w:after="0" w:line="580" w:lineRule="exact"/>
        <w:ind w:firstLine="640" w:firstLineChars="200"/>
        <w:rPr>
          <w:kern w:val="32"/>
        </w:rPr>
      </w:pPr>
      <w:r>
        <w:rPr>
          <w:rFonts w:hint="eastAsia"/>
          <w:kern w:val="32"/>
        </w:rPr>
        <w:t>四、绩效评价结论</w:t>
      </w:r>
    </w:p>
    <w:p>
      <w:pPr>
        <w:ind w:firstLine="640" w:firstLineChars="200"/>
        <w:rPr>
          <w:rFonts w:ascii="仿宋" w:hAnsi="仿宋" w:eastAsia="仿宋" w:cs="仿宋"/>
          <w:bCs/>
          <w:sz w:val="32"/>
          <w:szCs w:val="32"/>
        </w:rPr>
      </w:pPr>
      <w:r>
        <w:rPr>
          <w:rFonts w:hint="eastAsia" w:ascii="仿宋" w:hAnsi="仿宋" w:eastAsia="仿宋" w:cs="仿宋"/>
          <w:bCs/>
          <w:sz w:val="32"/>
          <w:szCs w:val="32"/>
        </w:rPr>
        <w:t>根据《2020年度南县司法局政府购买服务</w:t>
      </w:r>
      <w:r>
        <w:rPr>
          <w:rFonts w:ascii="仿宋" w:hAnsi="仿宋" w:eastAsia="仿宋" w:cs="仿宋"/>
          <w:bCs/>
          <w:sz w:val="32"/>
          <w:szCs w:val="32"/>
        </w:rPr>
        <w:t>专项</w:t>
      </w:r>
      <w:r>
        <w:rPr>
          <w:rFonts w:hint="eastAsia" w:ascii="仿宋" w:hAnsi="仿宋" w:eastAsia="仿宋" w:cs="仿宋"/>
          <w:bCs/>
          <w:sz w:val="32"/>
          <w:szCs w:val="32"/>
        </w:rPr>
        <w:t>资金绩效评价指标表》，我们通过定量和定性分析，南县司法局政府购买服务</w:t>
      </w:r>
      <w:r>
        <w:rPr>
          <w:rFonts w:ascii="仿宋" w:hAnsi="仿宋" w:eastAsia="仿宋" w:cs="仿宋"/>
          <w:bCs/>
          <w:sz w:val="32"/>
          <w:szCs w:val="32"/>
        </w:rPr>
        <w:t>专项资金绩效评价综合得分</w:t>
      </w:r>
      <w:r>
        <w:rPr>
          <w:rFonts w:hint="eastAsia" w:ascii="仿宋" w:hAnsi="仿宋" w:eastAsia="仿宋" w:cs="仿宋"/>
          <w:bCs/>
          <w:sz w:val="32"/>
          <w:szCs w:val="32"/>
        </w:rPr>
        <w:t>为81</w:t>
      </w:r>
      <w:r>
        <w:rPr>
          <w:rFonts w:ascii="仿宋" w:hAnsi="仿宋" w:eastAsia="仿宋" w:cs="仿宋"/>
          <w:bCs/>
          <w:sz w:val="32"/>
          <w:szCs w:val="32"/>
        </w:rPr>
        <w:t>分</w:t>
      </w:r>
      <w:r>
        <w:rPr>
          <w:rFonts w:hint="eastAsia" w:ascii="仿宋" w:hAnsi="仿宋" w:eastAsia="仿宋" w:cs="仿宋"/>
          <w:bCs/>
          <w:sz w:val="32"/>
          <w:szCs w:val="32"/>
        </w:rPr>
        <w:t>(详见附件2)，评价等级为“良”。其中项目决策总分20分，评价得分13分，主要扣分原因为绩效目标不够细化、未制定专项资金管理办法;项目管理总分25分，评价得分20分，主要扣分财务管理制度未严格执行;项目绩效总分55分，评价得分48分，主要扣分原因为项目产出质量未达标、产出成本超预算。</w:t>
      </w:r>
    </w:p>
    <w:p>
      <w:pPr>
        <w:pStyle w:val="2"/>
        <w:spacing w:before="0" w:after="0" w:line="580" w:lineRule="exact"/>
        <w:ind w:firstLine="640" w:firstLineChars="200"/>
        <w:rPr>
          <w:kern w:val="32"/>
        </w:rPr>
      </w:pPr>
      <w:r>
        <w:rPr>
          <w:rFonts w:hint="eastAsia"/>
          <w:kern w:val="32"/>
        </w:rPr>
        <w:t>五、专项资金主要绩效</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司法局委托国盛保安公司2020年共招聘社会工作者20名，分配至12个司法所及相关业务股室，减轻了基层人手不足问题，对社矫对象</w:t>
      </w:r>
      <w:r>
        <w:rPr>
          <w:rFonts w:ascii="仿宋" w:hAnsi="仿宋" w:eastAsia="仿宋" w:cs="仿宋"/>
          <w:sz w:val="32"/>
          <w:szCs w:val="32"/>
        </w:rPr>
        <w:t>215</w:t>
      </w:r>
      <w:r>
        <w:rPr>
          <w:rFonts w:hint="eastAsia" w:ascii="仿宋" w:hAnsi="仿宋" w:eastAsia="仿宋" w:cs="仿宋"/>
          <w:sz w:val="32"/>
          <w:szCs w:val="32"/>
        </w:rPr>
        <w:t>名（其中缓刑人员</w:t>
      </w:r>
      <w:r>
        <w:rPr>
          <w:rFonts w:ascii="仿宋" w:hAnsi="仿宋" w:eastAsia="仿宋" w:cs="仿宋"/>
          <w:sz w:val="32"/>
          <w:szCs w:val="32"/>
        </w:rPr>
        <w:t>197</w:t>
      </w:r>
      <w:r>
        <w:rPr>
          <w:rFonts w:hint="eastAsia" w:ascii="仿宋" w:hAnsi="仿宋" w:eastAsia="仿宋" w:cs="仿宋"/>
          <w:sz w:val="32"/>
          <w:szCs w:val="32"/>
        </w:rPr>
        <w:t>名、假释</w:t>
      </w:r>
      <w:r>
        <w:rPr>
          <w:rFonts w:ascii="仿宋" w:hAnsi="仿宋" w:eastAsia="仿宋" w:cs="仿宋"/>
          <w:sz w:val="32"/>
          <w:szCs w:val="32"/>
        </w:rPr>
        <w:t>8</w:t>
      </w:r>
      <w:r>
        <w:rPr>
          <w:rFonts w:hint="eastAsia" w:ascii="仿宋" w:hAnsi="仿宋" w:eastAsia="仿宋" w:cs="仿宋"/>
          <w:sz w:val="32"/>
          <w:szCs w:val="32"/>
        </w:rPr>
        <w:t>名、暂予监外执行</w:t>
      </w:r>
      <w:r>
        <w:rPr>
          <w:rFonts w:ascii="仿宋" w:hAnsi="仿宋" w:eastAsia="仿宋" w:cs="仿宋"/>
          <w:sz w:val="32"/>
          <w:szCs w:val="32"/>
        </w:rPr>
        <w:t>7</w:t>
      </w:r>
      <w:r>
        <w:rPr>
          <w:rFonts w:hint="eastAsia" w:ascii="仿宋" w:hAnsi="仿宋" w:eastAsia="仿宋" w:cs="仿宋"/>
          <w:sz w:val="32"/>
          <w:szCs w:val="32"/>
        </w:rPr>
        <w:t>名、管执</w:t>
      </w:r>
      <w:r>
        <w:rPr>
          <w:rFonts w:ascii="仿宋" w:hAnsi="仿宋" w:eastAsia="仿宋" w:cs="仿宋"/>
          <w:sz w:val="32"/>
          <w:szCs w:val="32"/>
        </w:rPr>
        <w:t>3</w:t>
      </w:r>
      <w:r>
        <w:rPr>
          <w:rFonts w:hint="eastAsia" w:ascii="仿宋" w:hAnsi="仿宋" w:eastAsia="仿宋" w:cs="仿宋"/>
          <w:sz w:val="32"/>
          <w:szCs w:val="32"/>
        </w:rPr>
        <w:t>名）有了全面监管，杜绝脱管漏管，提高社矫对象社会适应能力，维护社会长期稳定，帮助司法局强化社会管理创新，全面推进社区矫正管理工作，最大限度地消除不稳定因素，提升司法行政工作质量，为南县和谐、稳定和法制化建设做出贡献。</w:t>
      </w:r>
    </w:p>
    <w:p>
      <w:pPr>
        <w:pStyle w:val="2"/>
        <w:spacing w:before="0" w:after="0" w:line="580" w:lineRule="exact"/>
        <w:ind w:firstLine="640" w:firstLineChars="200"/>
        <w:rPr>
          <w:kern w:val="32"/>
        </w:rPr>
      </w:pPr>
      <w:r>
        <w:rPr>
          <w:rFonts w:hint="eastAsia"/>
          <w:kern w:val="32"/>
        </w:rPr>
        <w:t>六、存在的主要问题及建议</w:t>
      </w:r>
    </w:p>
    <w:p>
      <w:pPr>
        <w:spacing w:line="61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(一)存在的主要问题</w:t>
      </w:r>
    </w:p>
    <w:p>
      <w:pPr>
        <w:spacing w:line="61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1、绩效目标设置与预算批复资金不匹配</w:t>
      </w:r>
    </w:p>
    <w:p>
      <w:pPr>
        <w:spacing w:line="610" w:lineRule="exact"/>
        <w:ind w:firstLine="640" w:firstLineChars="200"/>
        <w:rPr>
          <w:rFonts w:ascii="仿宋" w:hAnsi="仿宋" w:eastAsia="仿宋" w:cs="仿宋"/>
          <w:b/>
          <w:bCs/>
          <w:sz w:val="32"/>
          <w:szCs w:val="32"/>
        </w:rPr>
      </w:pPr>
      <w:r>
        <w:rPr>
          <w:rFonts w:hint="eastAsia" w:ascii="仿宋" w:hAnsi="仿宋" w:eastAsia="仿宋" w:cs="仿宋"/>
          <w:bCs/>
          <w:sz w:val="32"/>
          <w:szCs w:val="32"/>
        </w:rPr>
        <w:t>该专项绩效目标设置为委托劳务派遣公司按照2700元每月每人完成本年度20名社工招聘，按照200元每天，保证律师每日坐班工作。即使不计算律师坐班支出，全年社工工资支出合计为64.8万元，超过实际批复专项资金7.3万元，导致专账中只核算2020年1-10月社工人工费用57.32万元，11-12两月人工费11.58万元记录在司法局社区矫正专项支出内，且未见律师坐班支出。</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2、未设置专项资金管理办法</w:t>
      </w:r>
    </w:p>
    <w:p>
      <w:pPr>
        <w:spacing w:line="630" w:lineRule="exact"/>
        <w:ind w:firstLine="640" w:firstLineChars="200"/>
        <w:rPr>
          <w:rFonts w:ascii="仿宋" w:hAnsi="仿宋" w:eastAsia="仿宋" w:cs="仿宋"/>
          <w:b/>
          <w:bCs/>
          <w:sz w:val="32"/>
          <w:szCs w:val="32"/>
        </w:rPr>
      </w:pPr>
      <w:r>
        <w:rPr>
          <w:rFonts w:hint="eastAsia" w:ascii="仿宋" w:hAnsi="仿宋" w:eastAsia="仿宋" w:cs="仿宋"/>
          <w:bCs/>
          <w:sz w:val="32"/>
          <w:szCs w:val="32"/>
        </w:rPr>
        <w:t>2020年度南县司法局收到财政拨付政府购买服务专项57.5万元，未设置专项资金管理办法，对其中支出是否应该属于该专项支出不明确，比如“政法购买服务专项支出社工4月人工费55</w:t>
      </w:r>
      <w:r>
        <w:rPr>
          <w:rFonts w:hint="eastAsia" w:ascii="仿宋" w:hAnsi="仿宋" w:eastAsia="仿宋" w:cs="仿宋"/>
          <w:sz w:val="32"/>
          <w:szCs w:val="32"/>
        </w:rPr>
        <w:t>,005</w:t>
      </w:r>
      <w:r>
        <w:rPr>
          <w:rFonts w:hint="eastAsia" w:ascii="仿宋" w:hAnsi="仿宋" w:eastAsia="仿宋" w:cs="仿宋"/>
          <w:bCs/>
          <w:sz w:val="32"/>
          <w:szCs w:val="32"/>
        </w:rPr>
        <w:t>元，其中司机人工费2,895元，在南县机关事业单位临聘人员摸底表中显示其经费来源为单位自筹。”无法确定是否属于该专项支出，不利于专项资金绩效管理与评价。</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3、对社工的管理不规范、人工费付款审核不严谨</w:t>
      </w:r>
    </w:p>
    <w:p>
      <w:pPr>
        <w:spacing w:line="630" w:lineRule="exact"/>
        <w:ind w:firstLine="640" w:firstLineChars="200"/>
        <w:rPr>
          <w:rFonts w:ascii="仿宋" w:hAnsi="仿宋" w:eastAsia="仿宋" w:cs="仿宋"/>
          <w:bCs/>
          <w:sz w:val="32"/>
          <w:szCs w:val="32"/>
        </w:rPr>
      </w:pPr>
      <w:r>
        <w:rPr>
          <w:rFonts w:hint="eastAsia" w:ascii="仿宋" w:hAnsi="仿宋" w:eastAsia="仿宋" w:cs="仿宋"/>
          <w:bCs/>
          <w:sz w:val="32"/>
          <w:szCs w:val="32"/>
        </w:rPr>
        <w:t>20名社工人员，按就近原则进行口头分配工作至12个司法所及相关业务股室，无指派分配工作记录，无工作考勤记录，各司法所及相关业务股室对分配至本单位社工人员管理不规范，司法局对于司法所及相关业务股室社工人员需求未提供审批记录；甲方司法局与乙方国盛保安服务有限责任公司签订劳务派遣协议中“第五条：支付有关款项事宜。甲方每月向乙方支付劳务人员工资、养老保险、工伤保险、失业保险及劳务代理费。劳务代理费标准为40元每人每月。”司法局支付社工费凭证附件，无劳务派遣公司对社工人员工资及社保支付相关资料，1-10月均按</w:t>
      </w:r>
      <w:r>
        <w:rPr>
          <w:rFonts w:hint="eastAsia" w:ascii="仿宋" w:hAnsi="仿宋" w:eastAsia="仿宋" w:cs="仿宋"/>
          <w:sz w:val="32"/>
          <w:szCs w:val="32"/>
        </w:rPr>
        <w:t>每人每月基本工资2,000元、社保单位承担部分855元、管理费40元，合计2,895元结算国盛保安服务公司劳务费，未检查国盛保安服务公司实际支付劳务人员的工资及单位社保，没有文件记录可以支持该结算标准。基本工资部分用人合同上签订为2,000元每人每月，因无人员考勤记录无法确定每月实际发放数，社保部分2020年因存在新冠疫情，国家对单位社保费用出台相应政策给予减少，国盛保安服务公司单位社保部分实际交纳数司法局未核实，每月按固定2,855元（除去管理费40元）标准支付基本工资与社保费用，付款审核不严谨</w:t>
      </w:r>
      <w:r>
        <w:rPr>
          <w:rFonts w:hint="eastAsia" w:ascii="仿宋" w:hAnsi="仿宋" w:eastAsia="仿宋" w:cs="仿宋"/>
          <w:bCs/>
          <w:sz w:val="32"/>
          <w:szCs w:val="32"/>
        </w:rPr>
        <w:t>。</w:t>
      </w:r>
    </w:p>
    <w:p>
      <w:pPr>
        <w:spacing w:line="63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4、确定劳务派遣公司未按规定走政府采购流程。</w:t>
      </w:r>
    </w:p>
    <w:p>
      <w:pPr>
        <w:spacing w:line="630" w:lineRule="exact"/>
        <w:ind w:firstLine="640" w:firstLineChars="200"/>
        <w:rPr>
          <w:rFonts w:ascii="仿宋" w:hAnsi="仿宋" w:eastAsia="仿宋" w:cs="仿宋"/>
          <w:bCs/>
          <w:sz w:val="32"/>
          <w:szCs w:val="32"/>
        </w:rPr>
      </w:pPr>
      <w:r>
        <w:rPr>
          <w:rFonts w:hint="eastAsia" w:ascii="仿宋" w:hAnsi="仿宋" w:eastAsia="仿宋" w:cs="仿宋"/>
          <w:bCs/>
          <w:sz w:val="32"/>
          <w:szCs w:val="32"/>
        </w:rPr>
        <w:t>根据《益阳市2020年政府集中采购目录及政府采购限额标准》益财购【2020】72号文的通知，政府采购限额标准为：货物、服务和工程项目采购预算金额达30万元（含）以上。该政府购买服务专项资金劳务派遣人工费用支出已达57.32万元，并未按规定走相应政府采购流程。</w:t>
      </w:r>
    </w:p>
    <w:p>
      <w:pPr>
        <w:numPr>
          <w:ilvl w:val="0"/>
          <w:numId w:val="2"/>
        </w:numPr>
        <w:spacing w:line="630" w:lineRule="exact"/>
        <w:rPr>
          <w:rFonts w:ascii="仿宋" w:hAnsi="仿宋" w:eastAsia="仿宋" w:cs="仿宋"/>
          <w:b/>
          <w:bCs/>
          <w:kern w:val="32"/>
          <w:sz w:val="32"/>
          <w:szCs w:val="32"/>
        </w:rPr>
      </w:pPr>
      <w:r>
        <w:rPr>
          <w:rFonts w:hint="eastAsia" w:ascii="仿宋" w:hAnsi="仿宋" w:eastAsia="仿宋" w:cs="仿宋"/>
          <w:b/>
          <w:bCs/>
          <w:kern w:val="32"/>
          <w:sz w:val="32"/>
          <w:szCs w:val="32"/>
        </w:rPr>
        <w:t>有关建议</w:t>
      </w:r>
    </w:p>
    <w:p>
      <w:pPr>
        <w:numPr>
          <w:ilvl w:val="0"/>
          <w:numId w:val="3"/>
        </w:numPr>
        <w:spacing w:line="630" w:lineRule="exact"/>
        <w:ind w:left="643"/>
        <w:rPr>
          <w:rFonts w:ascii="仿宋" w:hAnsi="仿宋" w:eastAsia="仿宋" w:cs="仿宋"/>
          <w:b/>
          <w:bCs/>
          <w:kern w:val="32"/>
          <w:sz w:val="32"/>
          <w:szCs w:val="32"/>
        </w:rPr>
      </w:pPr>
      <w:r>
        <w:rPr>
          <w:rFonts w:hint="eastAsia" w:ascii="仿宋" w:hAnsi="仿宋" w:eastAsia="仿宋" w:cs="仿宋"/>
          <w:b/>
          <w:bCs/>
          <w:sz w:val="32"/>
          <w:szCs w:val="32"/>
        </w:rPr>
        <w:t>绩效目标设置应与预算批复资金匹配</w:t>
      </w:r>
    </w:p>
    <w:p>
      <w:pPr>
        <w:spacing w:line="630" w:lineRule="exact"/>
        <w:rPr>
          <w:rFonts w:ascii="仿宋" w:hAnsi="仿宋" w:eastAsia="仿宋" w:cs="仿宋"/>
          <w:bCs/>
          <w:sz w:val="32"/>
          <w:szCs w:val="32"/>
        </w:rPr>
      </w:pPr>
      <w:r>
        <w:rPr>
          <w:rFonts w:hint="eastAsia" w:ascii="仿宋" w:hAnsi="仿宋" w:eastAsia="仿宋" w:cs="仿宋"/>
          <w:b/>
          <w:bCs/>
          <w:kern w:val="32"/>
          <w:sz w:val="32"/>
          <w:szCs w:val="32"/>
        </w:rPr>
        <w:t xml:space="preserve">    </w:t>
      </w:r>
      <w:r>
        <w:rPr>
          <w:rFonts w:hint="eastAsia" w:ascii="仿宋" w:hAnsi="仿宋" w:eastAsia="仿宋" w:cs="仿宋"/>
          <w:bCs/>
          <w:sz w:val="32"/>
          <w:szCs w:val="32"/>
        </w:rPr>
        <w:t>根据</w:t>
      </w:r>
      <w:r>
        <w:rPr>
          <w:rFonts w:hint="eastAsia" w:ascii="仿宋" w:hAnsi="仿宋" w:eastAsia="仿宋" w:cs="仿宋"/>
          <w:sz w:val="32"/>
          <w:szCs w:val="32"/>
        </w:rPr>
        <w:t>财预〔2015〕88号文“财政部关于印发《中央部门预算绩效目标管理办法》的通知”中</w:t>
      </w:r>
      <w:r>
        <w:rPr>
          <w:rFonts w:hint="eastAsia" w:ascii="仿宋" w:hAnsi="仿宋" w:eastAsia="仿宋" w:cs="仿宋"/>
          <w:bCs/>
          <w:sz w:val="32"/>
          <w:szCs w:val="32"/>
        </w:rPr>
        <w:t>绩效目标的设定第十三条：设定的绩效目标应当符合相应匹配原则，绩效目标要与计划期内的任务数或计划数相对应，与预算确定的投资额或资金量相匹配。</w:t>
      </w:r>
    </w:p>
    <w:p>
      <w:pPr>
        <w:spacing w:line="610" w:lineRule="exact"/>
        <w:ind w:firstLine="643" w:firstLineChars="200"/>
        <w:rPr>
          <w:rFonts w:ascii="仿宋" w:hAnsi="仿宋" w:eastAsia="仿宋" w:cs="仿宋"/>
          <w:b/>
          <w:bCs/>
          <w:sz w:val="32"/>
          <w:szCs w:val="32"/>
        </w:rPr>
      </w:pPr>
      <w:r>
        <w:rPr>
          <w:rFonts w:hint="eastAsia" w:ascii="仿宋" w:hAnsi="仿宋" w:eastAsia="仿宋" w:cs="仿宋"/>
          <w:b/>
          <w:bCs/>
          <w:kern w:val="32"/>
          <w:sz w:val="32"/>
          <w:szCs w:val="32"/>
        </w:rPr>
        <w:t>2、</w:t>
      </w:r>
      <w:r>
        <w:rPr>
          <w:rFonts w:hint="eastAsia" w:ascii="仿宋" w:hAnsi="仿宋" w:eastAsia="仿宋" w:cs="仿宋"/>
          <w:b/>
          <w:bCs/>
          <w:sz w:val="32"/>
          <w:szCs w:val="32"/>
        </w:rPr>
        <w:t>设置专项资金管理办法</w:t>
      </w:r>
    </w:p>
    <w:p>
      <w:pPr>
        <w:spacing w:line="630" w:lineRule="exact"/>
        <w:ind w:firstLine="642"/>
        <w:rPr>
          <w:rFonts w:ascii="仿宋" w:hAnsi="仿宋" w:eastAsia="仿宋" w:cs="仿宋"/>
          <w:bCs/>
          <w:sz w:val="32"/>
          <w:szCs w:val="32"/>
        </w:rPr>
      </w:pPr>
      <w:r>
        <w:rPr>
          <w:rFonts w:hint="eastAsia" w:ascii="仿宋" w:hAnsi="仿宋" w:eastAsia="仿宋" w:cs="仿宋"/>
          <w:bCs/>
          <w:sz w:val="32"/>
          <w:szCs w:val="32"/>
        </w:rPr>
        <w:t>应制定专项资金管理办法，明确规定专项支出范围，便于本单位进行绩效管理与自评，也便于上级单位进行绩效管理与评价。</w:t>
      </w:r>
    </w:p>
    <w:p>
      <w:pPr>
        <w:spacing w:line="44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3、加强社工管理、人工费应严格按照合同规定支付</w:t>
      </w:r>
    </w:p>
    <w:p>
      <w:pPr>
        <w:spacing w:line="630" w:lineRule="exact"/>
        <w:ind w:firstLine="640" w:firstLineChars="200"/>
        <w:rPr>
          <w:rFonts w:ascii="仿宋" w:hAnsi="仿宋" w:eastAsia="仿宋" w:cs="仿宋"/>
          <w:bCs/>
          <w:sz w:val="32"/>
          <w:szCs w:val="32"/>
        </w:rPr>
      </w:pPr>
      <w:r>
        <w:rPr>
          <w:rFonts w:hint="eastAsia" w:ascii="仿宋" w:hAnsi="仿宋" w:eastAsia="仿宋" w:cs="仿宋"/>
          <w:bCs/>
          <w:sz w:val="32"/>
          <w:szCs w:val="32"/>
        </w:rPr>
        <w:t>各司法所及相关业务股室应根据工作计划和实际情况，确定需要配制的社工人员人数，安排好社工的实际工作，加强社工管理，确定专项的开展与实施。司法局在每月支付人工费时，应要求各司法所提供人员考勤记录，国盛保安服务公司提供人员工资核算表与社保明细表，核对人员当月基本工资与社保费用，确认结算金额后按合同规定付款。</w:t>
      </w:r>
    </w:p>
    <w:p>
      <w:pPr>
        <w:spacing w:line="61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4、按规定走政府采购流程、使内部管理更加规范化</w:t>
      </w:r>
    </w:p>
    <w:p>
      <w:pPr>
        <w:ind w:firstLine="585"/>
        <w:rPr>
          <w:rFonts w:ascii="仿宋" w:hAnsi="仿宋" w:eastAsia="仿宋" w:cs="仿宋"/>
          <w:bCs/>
          <w:sz w:val="32"/>
          <w:szCs w:val="32"/>
        </w:rPr>
      </w:pPr>
      <w:r>
        <w:rPr>
          <w:rFonts w:hint="eastAsia" w:ascii="仿宋" w:hAnsi="仿宋" w:eastAsia="仿宋" w:cs="仿宋"/>
          <w:bCs/>
          <w:sz w:val="32"/>
          <w:szCs w:val="32"/>
        </w:rPr>
        <w:t>按照行政事业单位内部控制规范要求，建立健全本单位政府采购内部控制制度，在编制政府采购预算和实施计划、确定采购需求、组织采购活动、履约验收、答复询问质疑、配合投诉处理及监督检查等重点环节加强内部控制管理。</w:t>
      </w:r>
    </w:p>
    <w:p>
      <w:pPr>
        <w:pStyle w:val="2"/>
        <w:spacing w:before="0" w:after="0" w:line="580" w:lineRule="exact"/>
        <w:ind w:firstLine="640" w:firstLineChars="200"/>
        <w:rPr>
          <w:kern w:val="32"/>
        </w:rPr>
      </w:pPr>
      <w:r>
        <w:rPr>
          <w:rFonts w:hint="eastAsia"/>
          <w:kern w:val="32"/>
        </w:rPr>
        <w:t>七、报告附件</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附件1、南县2020年度司法局政府购买服务项目资金基础数据表</w:t>
      </w:r>
    </w:p>
    <w:p>
      <w:pPr>
        <w:ind w:firstLine="640" w:firstLineChars="200"/>
        <w:rPr>
          <w:rFonts w:hint="eastAsia" w:ascii="仿宋" w:hAnsi="仿宋" w:eastAsia="仿宋" w:cs="仿宋"/>
          <w:sz w:val="32"/>
          <w:szCs w:val="32"/>
        </w:rPr>
      </w:pPr>
      <w:r>
        <w:rPr>
          <w:rFonts w:hint="eastAsia" w:ascii="仿宋_GB2312" w:hAnsi="仿宋" w:eastAsia="仿宋_GB2312" w:cs="仿宋_GB2312"/>
          <w:sz w:val="32"/>
          <w:szCs w:val="32"/>
        </w:rPr>
        <w:t>附件2、南县2020年度司法局政府购买服务项目资金绩效评价指标评价表</w:t>
      </w: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sz w:val="32"/>
          <w:szCs w:val="32"/>
        </w:rPr>
      </w:pPr>
      <w:r>
        <w:rPr>
          <w:rFonts w:hint="eastAsia" w:ascii="仿宋" w:hAnsi="仿宋" w:eastAsia="仿宋" w:cs="仿宋"/>
          <w:iCs/>
          <w:snapToGrid w:val="0"/>
          <w:kern w:val="0"/>
          <w:sz w:val="28"/>
          <w:szCs w:val="28"/>
        </w:rPr>
        <w:t xml:space="preserve">                                 二〇二一年六月二十六日</w:t>
      </w:r>
    </w:p>
    <w:p>
      <w:pPr>
        <w:rPr>
          <w:rFonts w:ascii="仿宋" w:hAnsi="仿宋" w:eastAsia="仿宋" w:cs="仿宋"/>
          <w:bCs/>
          <w:sz w:val="32"/>
          <w:szCs w:val="32"/>
        </w:rPr>
      </w:pP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2DDBBA"/>
    <w:multiLevelType w:val="singleLevel"/>
    <w:tmpl w:val="8A2DDBBA"/>
    <w:lvl w:ilvl="0" w:tentative="0">
      <w:start w:val="1"/>
      <w:numFmt w:val="decimal"/>
      <w:suff w:val="nothing"/>
      <w:lvlText w:val="%1、"/>
      <w:lvlJc w:val="left"/>
    </w:lvl>
  </w:abstractNum>
  <w:abstractNum w:abstractNumId="1">
    <w:nsid w:val="25088626"/>
    <w:multiLevelType w:val="singleLevel"/>
    <w:tmpl w:val="25088626"/>
    <w:lvl w:ilvl="0" w:tentative="0">
      <w:start w:val="1"/>
      <w:numFmt w:val="chineseCounting"/>
      <w:suff w:val="nothing"/>
      <w:lvlText w:val="（%1）"/>
      <w:lvlJc w:val="left"/>
      <w:rPr>
        <w:rFonts w:hint="eastAsia"/>
      </w:rPr>
    </w:lvl>
  </w:abstractNum>
  <w:abstractNum w:abstractNumId="2">
    <w:nsid w:val="4ED914F8"/>
    <w:multiLevelType w:val="multilevel"/>
    <w:tmpl w:val="4ED914F8"/>
    <w:lvl w:ilvl="0" w:tentative="0">
      <w:start w:val="1"/>
      <w:numFmt w:val="japaneseCounting"/>
      <w:lvlText w:val="（%1）"/>
      <w:lvlJc w:val="left"/>
      <w:pPr>
        <w:ind w:left="1633" w:hanging="99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0F"/>
    <w:rsid w:val="000F555F"/>
    <w:rsid w:val="001A6F27"/>
    <w:rsid w:val="00372535"/>
    <w:rsid w:val="003A06AB"/>
    <w:rsid w:val="003E4059"/>
    <w:rsid w:val="004068AC"/>
    <w:rsid w:val="0042710F"/>
    <w:rsid w:val="0048262C"/>
    <w:rsid w:val="004A0983"/>
    <w:rsid w:val="004E72EF"/>
    <w:rsid w:val="006C6F16"/>
    <w:rsid w:val="007B5550"/>
    <w:rsid w:val="007F284B"/>
    <w:rsid w:val="00893292"/>
    <w:rsid w:val="00AD458B"/>
    <w:rsid w:val="00B41E1B"/>
    <w:rsid w:val="00B56747"/>
    <w:rsid w:val="00C016EE"/>
    <w:rsid w:val="00CD02BF"/>
    <w:rsid w:val="00E30FD1"/>
    <w:rsid w:val="00E42538"/>
    <w:rsid w:val="00EB5CCE"/>
    <w:rsid w:val="00F6008F"/>
    <w:rsid w:val="00F63C4E"/>
    <w:rsid w:val="02631C79"/>
    <w:rsid w:val="07051C0E"/>
    <w:rsid w:val="0EA77558"/>
    <w:rsid w:val="10A611AC"/>
    <w:rsid w:val="151E727F"/>
    <w:rsid w:val="17FE24C3"/>
    <w:rsid w:val="180C03CB"/>
    <w:rsid w:val="18146606"/>
    <w:rsid w:val="19794DAF"/>
    <w:rsid w:val="21A87FD6"/>
    <w:rsid w:val="29C74749"/>
    <w:rsid w:val="2A4B3044"/>
    <w:rsid w:val="2AB511F0"/>
    <w:rsid w:val="2FCC7A0B"/>
    <w:rsid w:val="35DE75EE"/>
    <w:rsid w:val="37A85FC3"/>
    <w:rsid w:val="389E38A1"/>
    <w:rsid w:val="3D9D7CD5"/>
    <w:rsid w:val="3FEF502A"/>
    <w:rsid w:val="40AB325D"/>
    <w:rsid w:val="43D32355"/>
    <w:rsid w:val="446F34B7"/>
    <w:rsid w:val="4524700D"/>
    <w:rsid w:val="46DE556E"/>
    <w:rsid w:val="473807D2"/>
    <w:rsid w:val="477452DE"/>
    <w:rsid w:val="479B6D89"/>
    <w:rsid w:val="4B18581C"/>
    <w:rsid w:val="4C602C38"/>
    <w:rsid w:val="4FE340B1"/>
    <w:rsid w:val="50B770C7"/>
    <w:rsid w:val="5B3107B0"/>
    <w:rsid w:val="5E856EEF"/>
    <w:rsid w:val="5F6F3232"/>
    <w:rsid w:val="69055F53"/>
    <w:rsid w:val="6BE815CB"/>
    <w:rsid w:val="6C701C00"/>
    <w:rsid w:val="6D33572E"/>
    <w:rsid w:val="70194068"/>
    <w:rsid w:val="727B5869"/>
    <w:rsid w:val="758C5A15"/>
    <w:rsid w:val="76072C61"/>
    <w:rsid w:val="78BA4E61"/>
    <w:rsid w:val="78FB14A1"/>
    <w:rsid w:val="7B824341"/>
    <w:rsid w:val="7E4D6BC5"/>
    <w:rsid w:val="7F065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340" w:after="330" w:line="578" w:lineRule="auto"/>
      <w:outlineLvl w:val="0"/>
    </w:pPr>
    <w:rPr>
      <w:rFonts w:eastAsia="黑体"/>
      <w:bCs/>
      <w:kern w:val="44"/>
      <w:sz w:val="32"/>
      <w:szCs w:val="44"/>
    </w:rPr>
  </w:style>
  <w:style w:type="paragraph" w:styleId="3">
    <w:name w:val="heading 2"/>
    <w:basedOn w:val="1"/>
    <w:next w:val="1"/>
    <w:unhideWhenUsed/>
    <w:qFormat/>
    <w:uiPriority w:val="9"/>
    <w:pPr>
      <w:spacing w:before="260" w:after="260" w:line="415" w:lineRule="auto"/>
      <w:outlineLvl w:val="1"/>
    </w:pPr>
    <w:rPr>
      <w:rFonts w:eastAsia="楷体" w:asciiTheme="majorHAnsi" w:hAnsiTheme="majorHAnsi" w:cstheme="majorBidi"/>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4"/>
    <w:qFormat/>
    <w:uiPriority w:val="0"/>
    <w:pPr>
      <w:jc w:val="left"/>
    </w:pPr>
  </w:style>
  <w:style w:type="paragraph" w:styleId="5">
    <w:name w:val="Balloon Text"/>
    <w:basedOn w:val="1"/>
    <w:link w:val="16"/>
    <w:qFormat/>
    <w:uiPriority w:val="0"/>
    <w:rPr>
      <w:sz w:val="18"/>
      <w:szCs w:val="18"/>
    </w:rPr>
  </w:style>
  <w:style w:type="paragraph" w:styleId="6">
    <w:name w:val="footer"/>
    <w:basedOn w:val="1"/>
    <w:qFormat/>
    <w:uiPriority w:val="0"/>
    <w:pPr>
      <w:tabs>
        <w:tab w:val="center" w:pos="4153"/>
        <w:tab w:val="right" w:pos="8306"/>
      </w:tabs>
      <w:adjustRightInd w:val="0"/>
      <w:spacing w:line="240" w:lineRule="atLeast"/>
      <w:jc w:val="left"/>
      <w:textAlignment w:val="baseline"/>
    </w:pPr>
    <w:rPr>
      <w:rFonts w:eastAsia="宋体"/>
      <w:kern w:val="0"/>
      <w:sz w:val="18"/>
      <w:szCs w:val="20"/>
    </w:rPr>
  </w:style>
  <w:style w:type="paragraph" w:styleId="7">
    <w:name w:val="header"/>
    <w:basedOn w:val="1"/>
    <w:qFormat/>
    <w:uiPriority w:val="99"/>
    <w:pPr>
      <w:pBdr>
        <w:bottom w:val="single" w:color="auto" w:sz="6" w:space="1"/>
      </w:pBdr>
      <w:tabs>
        <w:tab w:val="center" w:pos="4153"/>
        <w:tab w:val="right" w:pos="8306"/>
      </w:tabs>
      <w:snapToGrid w:val="0"/>
      <w:jc w:val="center"/>
    </w:pPr>
    <w:rPr>
      <w:rFonts w:eastAsia="宋体"/>
      <w:sz w:val="18"/>
      <w:szCs w:val="18"/>
    </w:rPr>
  </w:style>
  <w:style w:type="paragraph" w:styleId="8">
    <w:name w:val="annotation subject"/>
    <w:basedOn w:val="4"/>
    <w:next w:val="4"/>
    <w:link w:val="15"/>
    <w:qFormat/>
    <w:uiPriority w:val="0"/>
    <w:rPr>
      <w:b/>
      <w:bCs/>
    </w:rPr>
  </w:style>
  <w:style w:type="character" w:styleId="11">
    <w:name w:val="Strong"/>
    <w:qFormat/>
    <w:uiPriority w:val="0"/>
    <w:rPr>
      <w:b/>
      <w:bCs/>
    </w:rPr>
  </w:style>
  <w:style w:type="character" w:styleId="12">
    <w:name w:val="annotation reference"/>
    <w:basedOn w:val="10"/>
    <w:qFormat/>
    <w:uiPriority w:val="0"/>
    <w:rPr>
      <w:sz w:val="21"/>
      <w:szCs w:val="21"/>
    </w:rPr>
  </w:style>
  <w:style w:type="paragraph" w:styleId="13">
    <w:name w:val="No Spacing"/>
    <w:qFormat/>
    <w:uiPriority w:val="1"/>
    <w:rPr>
      <w:rFonts w:asciiTheme="minorHAnsi" w:hAnsiTheme="minorHAnsi" w:eastAsiaTheme="minorEastAsia" w:cstheme="minorBidi"/>
      <w:sz w:val="22"/>
      <w:szCs w:val="22"/>
      <w:lang w:val="en-US" w:eastAsia="zh-CN" w:bidi="ar-SA"/>
    </w:rPr>
  </w:style>
  <w:style w:type="character" w:customStyle="1" w:styleId="14">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5">
    <w:name w:val="批注主题 Char"/>
    <w:basedOn w:val="14"/>
    <w:link w:val="8"/>
    <w:qFormat/>
    <w:uiPriority w:val="0"/>
    <w:rPr>
      <w:rFonts w:asciiTheme="minorHAnsi" w:hAnsiTheme="minorHAnsi" w:eastAsiaTheme="minorEastAsia" w:cstheme="minorBidi"/>
      <w:b/>
      <w:bCs/>
      <w:kern w:val="2"/>
      <w:sz w:val="21"/>
      <w:szCs w:val="24"/>
    </w:rPr>
  </w:style>
  <w:style w:type="character" w:customStyle="1" w:styleId="16">
    <w:name w:val="批注框文本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693</Words>
  <Characters>3952</Characters>
  <Lines>32</Lines>
  <Paragraphs>9</Paragraphs>
  <TotalTime>135</TotalTime>
  <ScaleCrop>false</ScaleCrop>
  <LinksUpToDate>false</LinksUpToDate>
  <CharactersWithSpaces>4636</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2021-06-03T03:10:00Z</dcterms:created>
  <dc:creator>任佳妮</dc:creator>
  <cp:lastModifiedBy>小小小小</cp:lastModifiedBy>
  <dcterms:modified xsi:type="dcterms:W3CDTF">2021-09-06T02:20:19Z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4FDEBA56D001446486972CBD129C0DF2</vt:lpwstr>
  </property>
  <property fmtid="{D5CDD505-2E9C-101B-9397-08002B2CF9AE}" pid="4" name="KSOSaveFontToCloudKey">
    <vt:lpwstr>301583558_cloud</vt:lpwstr>
  </property>
</Properties>
</file>