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0"/>
        <w:rPr>
          <w:rFonts w:ascii="黑体" w:hAnsi="黑体" w:eastAsia="黑体"/>
          <w:color w:val="000000"/>
          <w:sz w:val="28"/>
          <w:szCs w:val="28"/>
        </w:rPr>
      </w:pPr>
      <w:r>
        <w:rPr>
          <w:rFonts w:hint="eastAsia" w:ascii="黑体" w:hAnsi="黑体" w:eastAsia="黑体"/>
          <w:color w:val="000000"/>
          <w:sz w:val="28"/>
          <w:szCs w:val="28"/>
        </w:rPr>
        <w:t>附件1</w:t>
      </w:r>
    </w:p>
    <w:p>
      <w:pPr>
        <w:ind w:firstLine="720"/>
        <w:jc w:val="center"/>
        <w:rPr>
          <w:rFonts w:hint="eastAsia" w:ascii="黑体" w:hAnsi="黑体" w:eastAsia="黑体"/>
          <w:color w:val="000000"/>
          <w:sz w:val="36"/>
          <w:szCs w:val="36"/>
        </w:rPr>
      </w:pPr>
      <w:r>
        <w:rPr>
          <w:rFonts w:hint="eastAsia" w:ascii="黑体" w:hAnsi="黑体" w:eastAsia="黑体"/>
          <w:color w:val="000000"/>
          <w:sz w:val="36"/>
          <w:szCs w:val="36"/>
        </w:rPr>
        <w:t>2020年部门整体支出绩效自评指标计分表</w:t>
      </w:r>
    </w:p>
    <w:p>
      <w:pPr>
        <w:spacing w:line="300" w:lineRule="exact"/>
        <w:ind w:firstLine="640"/>
        <w:rPr>
          <w:rFonts w:hint="eastAsia" w:ascii="黑体" w:hAnsi="黑体" w:eastAsia="黑体"/>
          <w:color w:val="000000"/>
        </w:rPr>
      </w:pPr>
      <w:r>
        <w:rPr>
          <w:rFonts w:hint="eastAsia" w:ascii="黑体" w:hAnsi="黑体" w:eastAsia="黑体"/>
          <w:color w:val="000000"/>
        </w:rPr>
        <w:t xml:space="preserve"> </w:t>
      </w:r>
    </w:p>
    <w:tbl>
      <w:tblPr>
        <w:tblStyle w:val="4"/>
        <w:tblW w:w="9992" w:type="dxa"/>
        <w:jc w:val="center"/>
        <w:tblLayout w:type="fixed"/>
        <w:tblCellMar>
          <w:top w:w="0" w:type="dxa"/>
          <w:left w:w="0" w:type="dxa"/>
          <w:bottom w:w="0" w:type="dxa"/>
          <w:right w:w="0" w:type="dxa"/>
        </w:tblCellMar>
      </w:tblPr>
      <w:tblGrid>
        <w:gridCol w:w="828"/>
        <w:gridCol w:w="784"/>
        <w:gridCol w:w="848"/>
        <w:gridCol w:w="368"/>
        <w:gridCol w:w="2792"/>
        <w:gridCol w:w="4372"/>
      </w:tblGrid>
      <w:tr>
        <w:tblPrEx>
          <w:tblCellMar>
            <w:top w:w="0" w:type="dxa"/>
            <w:left w:w="0" w:type="dxa"/>
            <w:bottom w:w="0" w:type="dxa"/>
            <w:right w:w="0" w:type="dxa"/>
          </w:tblCellMar>
        </w:tblPrEx>
        <w:trPr>
          <w:trHeight w:val="853" w:hRule="atLeast"/>
          <w:jc w:val="center"/>
        </w:trPr>
        <w:tc>
          <w:tcPr>
            <w:tcW w:w="828"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一级</w:t>
            </w:r>
            <w:r>
              <w:rPr>
                <w:rFonts w:hint="eastAsia" w:ascii="黑体" w:hAnsi="黑体" w:eastAsia="黑体"/>
                <w:color w:val="000000"/>
              </w:rPr>
              <w:br w:type="textWrapping"/>
            </w:r>
            <w:r>
              <w:rPr>
                <w:rFonts w:hint="eastAsia" w:ascii="黑体" w:hAnsi="黑体" w:eastAsia="黑体"/>
                <w:color w:val="000000"/>
              </w:rPr>
              <w:t>指标</w:t>
            </w:r>
          </w:p>
        </w:tc>
        <w:tc>
          <w:tcPr>
            <w:tcW w:w="78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二级</w:t>
            </w:r>
          </w:p>
          <w:p>
            <w:pPr>
              <w:spacing w:line="240" w:lineRule="exact"/>
              <w:ind w:firstLine="640"/>
              <w:jc w:val="center"/>
              <w:rPr>
                <w:rFonts w:hint="eastAsia" w:ascii="黑体" w:hAnsi="黑体" w:eastAsia="黑体"/>
                <w:color w:val="000000"/>
              </w:rPr>
            </w:pPr>
            <w:r>
              <w:rPr>
                <w:rFonts w:hint="eastAsia" w:ascii="黑体" w:hAnsi="黑体" w:eastAsia="黑体"/>
                <w:color w:val="000000"/>
              </w:rPr>
              <w:t>指标</w:t>
            </w: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三级  指标</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自评分</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指标解释</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黑体" w:hAnsi="黑体" w:eastAsia="黑体"/>
                <w:color w:val="000000"/>
              </w:rPr>
            </w:pPr>
            <w:r>
              <w:rPr>
                <w:rFonts w:hint="eastAsia" w:ascii="黑体" w:hAnsi="黑体" w:eastAsia="黑体"/>
                <w:color w:val="000000"/>
              </w:rPr>
              <w:t>指标说明</w:t>
            </w:r>
          </w:p>
        </w:tc>
      </w:tr>
      <w:tr>
        <w:tblPrEx>
          <w:tblCellMar>
            <w:top w:w="0" w:type="dxa"/>
            <w:left w:w="0" w:type="dxa"/>
            <w:bottom w:w="0" w:type="dxa"/>
            <w:right w:w="0" w:type="dxa"/>
          </w:tblCellMar>
        </w:tblPrEx>
        <w:trPr>
          <w:trHeight w:val="1327"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投 入</w:t>
            </w:r>
          </w:p>
          <w:p>
            <w:pPr>
              <w:spacing w:line="240" w:lineRule="exact"/>
              <w:ind w:firstLine="640"/>
              <w:jc w:val="center"/>
              <w:rPr>
                <w:rFonts w:hint="eastAsia" w:ascii="仿宋_GB2312" w:hAnsi="宋体"/>
                <w:color w:val="000000"/>
              </w:rPr>
            </w:pPr>
            <w:r>
              <w:rPr>
                <w:rFonts w:hint="eastAsia" w:ascii="仿宋_GB2312" w:hAnsi="宋体"/>
                <w:color w:val="000000"/>
              </w:rPr>
              <w:t>（</w:t>
            </w:r>
            <w:r>
              <w:rPr>
                <w:rFonts w:hint="eastAsia" w:ascii="仿宋_GB2312" w:hAnsi="宋体" w:eastAsia="仿宋_GB2312"/>
                <w:color w:val="000000"/>
              </w:rPr>
              <w:t>20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目标</w:t>
            </w:r>
            <w:r>
              <w:rPr>
                <w:rFonts w:hint="eastAsia" w:ascii="宋体" w:hAnsi="宋体"/>
                <w:color w:val="000000"/>
                <w:sz w:val="18"/>
                <w:szCs w:val="18"/>
              </w:rPr>
              <w:br w:type="textWrapping"/>
            </w:r>
            <w:r>
              <w:rPr>
                <w:rFonts w:hint="eastAsia" w:ascii="宋体" w:hAnsi="宋体"/>
                <w:color w:val="000000"/>
                <w:sz w:val="18"/>
                <w:szCs w:val="18"/>
              </w:rPr>
              <w:t>设定</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绩效目标合理性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both"/>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部门所设立的整体绩效目标依据是否充分，是否符合客观实际，用以反映和考核部门整体绩效目标与部门履职、年度工作任务的相符性情况。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①符合国家法律法规、国民经济和社会发展总体规划计1分；②符合部门“三定”方案确定的职责计0.5分；③是否符合部门制定的中长期实施规划计0.5分。</w:t>
            </w:r>
          </w:p>
        </w:tc>
      </w:tr>
      <w:tr>
        <w:tblPrEx>
          <w:tblCellMar>
            <w:top w:w="0" w:type="dxa"/>
            <w:left w:w="0" w:type="dxa"/>
            <w:bottom w:w="0" w:type="dxa"/>
            <w:right w:w="0" w:type="dxa"/>
          </w:tblCellMar>
        </w:tblPrEx>
        <w:trPr>
          <w:trHeight w:val="1169"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绩效指标明确性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（3分）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lang w:val="en-US" w:eastAsia="zh-CN"/>
              </w:rPr>
            </w:pPr>
            <w:r>
              <w:rPr>
                <w:rFonts w:hint="eastAsia" w:ascii="宋体" w:hAnsi="宋体"/>
                <w:color w:val="000000"/>
                <w:sz w:val="18"/>
                <w:szCs w:val="18"/>
                <w:lang w:val="en-US" w:eastAsia="zh-CN"/>
              </w:rPr>
              <w:t>2</w:t>
            </w: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部门依据整体绩效目标所设定的绩效指标是否清晰、细化、可衡量，用以反映和考核部门整体绩效目标的明细化情况。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①将部门整体的绩效目标细化分解为具体的工作任务计1分；②通过清晰、可衡量的指标值予以体现计0.5分。③与部门年度的任务数或计划数相对应计0.5分；④与本年度部门预算资金相匹配计1分。</w:t>
            </w:r>
          </w:p>
        </w:tc>
      </w:tr>
      <w:tr>
        <w:tblPrEx>
          <w:tblCellMar>
            <w:top w:w="0" w:type="dxa"/>
            <w:left w:w="0" w:type="dxa"/>
            <w:bottom w:w="0" w:type="dxa"/>
            <w:right w:w="0" w:type="dxa"/>
          </w:tblCellMar>
        </w:tblPrEx>
        <w:trPr>
          <w:trHeight w:val="1221"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r>
              <w:rPr>
                <w:rFonts w:hint="eastAsia" w:ascii="宋体" w:hAnsi="宋体"/>
                <w:color w:val="000000"/>
                <w:sz w:val="18"/>
                <w:szCs w:val="18"/>
              </w:rPr>
              <w:br w:type="textWrapping"/>
            </w:r>
            <w:r>
              <w:rPr>
                <w:rFonts w:hint="eastAsia" w:ascii="宋体" w:hAnsi="宋体"/>
                <w:color w:val="000000"/>
                <w:sz w:val="18"/>
                <w:szCs w:val="18"/>
              </w:rPr>
              <w:t>配置</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（15分）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在职人员控制率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55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部门本年度实际在职人员数与编制数的比率，用以反映和考核部门对人员成本的控制程度。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在职人员控制率=（在职人员数/编制数）×100%小于或等于1计5分，否则按比例计分。在职人员数：部门实际在职人数，以财政部确定的部门决算编制口径为准。编制数：机构编制部门核定批复的部门的人员编制数。</w:t>
            </w:r>
          </w:p>
        </w:tc>
      </w:tr>
      <w:tr>
        <w:tblPrEx>
          <w:tblCellMar>
            <w:top w:w="0" w:type="dxa"/>
            <w:left w:w="0" w:type="dxa"/>
            <w:bottom w:w="0" w:type="dxa"/>
            <w:right w:w="0" w:type="dxa"/>
          </w:tblCellMar>
        </w:tblPrEx>
        <w:trPr>
          <w:trHeight w:val="135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“三公</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经费”</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变动率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55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部门本年度“三公经费”预算数与上年度“三公经费”预算数的变动比率，用以反映和考核部门对控制重点行政成本的努力程度。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三公经费”变动率=[（本年度“三公经费”总额-上年度“三公经费”总额）/上年度“三公经费”总额]×100%。下降的计5分，增加的按比例扣减。“三公经费”：年度预算安排的因公出国（境）费、公务车辆购置及运行费和公务招待费。</w:t>
            </w:r>
          </w:p>
        </w:tc>
      </w:tr>
      <w:tr>
        <w:tblPrEx>
          <w:tblCellMar>
            <w:top w:w="0" w:type="dxa"/>
            <w:left w:w="0" w:type="dxa"/>
            <w:bottom w:w="0" w:type="dxa"/>
            <w:right w:w="0" w:type="dxa"/>
          </w:tblCellMar>
        </w:tblPrEx>
        <w:trPr>
          <w:trHeight w:val="1524"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重点支出安排率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55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部门本年度预算安排的重点项目支出与部门项目总支出的比率，用以反映和考核部门对履行主要职责或完成重点任务的保障程度。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r>
      <w:tr>
        <w:tblPrEx>
          <w:tblCellMar>
            <w:top w:w="0" w:type="dxa"/>
            <w:left w:w="0" w:type="dxa"/>
            <w:bottom w:w="0" w:type="dxa"/>
            <w:right w:w="0" w:type="dxa"/>
          </w:tblCellMar>
        </w:tblPrEx>
        <w:trPr>
          <w:trHeight w:val="1179"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过  程（</w:t>
            </w:r>
            <w:r>
              <w:rPr>
                <w:rFonts w:hint="eastAsia" w:ascii="仿宋_GB2312" w:hAnsi="宋体" w:eastAsia="仿宋_GB2312"/>
                <w:color w:val="000000"/>
              </w:rPr>
              <w:t>30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r>
              <w:rPr>
                <w:rFonts w:hint="eastAsia" w:ascii="宋体" w:hAnsi="宋体"/>
                <w:color w:val="000000"/>
                <w:sz w:val="18"/>
                <w:szCs w:val="18"/>
              </w:rPr>
              <w:br w:type="textWrapping"/>
            </w:r>
            <w:r>
              <w:rPr>
                <w:rFonts w:hint="eastAsia" w:ascii="宋体" w:hAnsi="宋体"/>
                <w:color w:val="000000"/>
                <w:sz w:val="18"/>
                <w:szCs w:val="18"/>
              </w:rPr>
              <w:t>执行</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（20分）</w:t>
            </w: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完成率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44</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部门本年度预算完成数与预算数的比率，用以反映和考核部门预算完成程度。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预算完成率=（预算完成数/预算数）×100%。完成年初预算计4分，未完成年初预算按比例扣减，预算完成数：部门本年度实际完成的预算数。预算数：财政部门批复的本年度部门预算数。</w:t>
            </w:r>
          </w:p>
        </w:tc>
      </w:tr>
      <w:tr>
        <w:tblPrEx>
          <w:tblCellMar>
            <w:top w:w="0" w:type="dxa"/>
            <w:left w:w="0" w:type="dxa"/>
            <w:bottom w:w="0" w:type="dxa"/>
            <w:right w:w="0" w:type="dxa"/>
          </w:tblCellMar>
        </w:tblPrEx>
        <w:trPr>
          <w:trHeight w:val="145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预算</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调整率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22</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部门本年度预算调整数与预算数的比率，用以反映和考核部门预算的调整程度。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r>
      <w:tr>
        <w:tblPrEx>
          <w:tblCellMar>
            <w:top w:w="0" w:type="dxa"/>
            <w:left w:w="0" w:type="dxa"/>
            <w:bottom w:w="0" w:type="dxa"/>
            <w:right w:w="0" w:type="dxa"/>
          </w:tblCellMar>
        </w:tblPrEx>
        <w:trPr>
          <w:trHeight w:val="1918"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支付</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进度率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22</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部门实际支付进度与既定支付进度的比率，用以反映和考核部门预算执行的及时性和均衡性程度。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支付进度率=（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在某一时点应达到的支付进度（比率）。</w:t>
            </w:r>
          </w:p>
        </w:tc>
      </w:tr>
      <w:tr>
        <w:tblPrEx>
          <w:tblCellMar>
            <w:top w:w="0" w:type="dxa"/>
            <w:left w:w="0" w:type="dxa"/>
            <w:bottom w:w="0" w:type="dxa"/>
            <w:right w:w="0" w:type="dxa"/>
          </w:tblCellMar>
        </w:tblPrEx>
        <w:trPr>
          <w:trHeight w:val="1142"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结转结余控制率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0</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部门本年度结转结余总额与上年结转结余总额增减比例，用以反映和考核部门对存量资金的实际控制程度。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结转结余控制率=（本年结转结余总额-上年结转结余总额）/上年结转结余总额×100%。低于15%的计4分，每超过5个百分点扣1分，扣完为止。结转结余总额：部门本年度的结转资金与结余资金之和（以决算数为准）。</w:t>
            </w:r>
          </w:p>
        </w:tc>
      </w:tr>
      <w:tr>
        <w:tblPrEx>
          <w:tblCellMar>
            <w:top w:w="0" w:type="dxa"/>
            <w:left w:w="0" w:type="dxa"/>
            <w:bottom w:w="0" w:type="dxa"/>
            <w:right w:w="0" w:type="dxa"/>
          </w:tblCellMar>
        </w:tblPrEx>
        <w:trPr>
          <w:trHeight w:val="1151"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公用经费控制率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00</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部门本年度实际支出的公用经费总额与预算安排的公用经费总额的比率，用以反映和考核部门对机构运转成本的实际控制程度。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公用经费控制率=（实际支出公用经费总额/预算安排公用经费总额）×100%。为100%的计2分，每超过1个百分点扣0.1分，扣完为止。</w:t>
            </w:r>
          </w:p>
        </w:tc>
      </w:tr>
      <w:tr>
        <w:tblPrEx>
          <w:tblCellMar>
            <w:top w:w="0" w:type="dxa"/>
            <w:left w:w="0" w:type="dxa"/>
            <w:bottom w:w="0" w:type="dxa"/>
            <w:right w:w="0" w:type="dxa"/>
          </w:tblCellMar>
        </w:tblPrEx>
        <w:trPr>
          <w:trHeight w:val="1064"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“三公经费”控制率（2分）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22</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部门本年度“三公经费”实际支出数与预算安排数的比率，用以反映和考核部门对“三公经费”的实际控制程度。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“三公经费”控制率=（“三公经费”实际支出数/“三公经费”预算安排数）×100%。为100%的计2分，每超过1个百分点扣0.5分，扣完为止。</w:t>
            </w:r>
          </w:p>
        </w:tc>
      </w:tr>
      <w:tr>
        <w:tblPrEx>
          <w:tblCellMar>
            <w:top w:w="0" w:type="dxa"/>
            <w:left w:w="0" w:type="dxa"/>
            <w:bottom w:w="0" w:type="dxa"/>
            <w:right w:w="0" w:type="dxa"/>
          </w:tblCellMar>
        </w:tblPrEx>
        <w:trPr>
          <w:trHeight w:val="1373"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政府采购执行率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44</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部门本年度实际政府采购金额与年初政府采购预算的比率，用以反映和考核部门政府采购预算执行情况。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政府采购执行率=（实际政府采购金额/政府采购预算数）×100%，为100%的计2分，每低于1个百分点扣0.5分，扣完为止；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1342"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预算</w:t>
            </w:r>
          </w:p>
          <w:p>
            <w:pPr>
              <w:spacing w:line="240" w:lineRule="exact"/>
              <w:ind w:firstLine="640"/>
              <w:jc w:val="center"/>
              <w:rPr>
                <w:rFonts w:hint="eastAsia" w:ascii="仿宋_GB2312" w:hAnsi="宋体"/>
                <w:color w:val="000000"/>
              </w:rPr>
            </w:pPr>
            <w:r>
              <w:rPr>
                <w:rFonts w:hint="eastAsia" w:ascii="仿宋_GB2312" w:hAnsi="宋体"/>
                <w:color w:val="000000"/>
              </w:rPr>
              <w:t>管理</w:t>
            </w:r>
          </w:p>
          <w:p>
            <w:pPr>
              <w:spacing w:line="240" w:lineRule="exact"/>
              <w:ind w:firstLine="640"/>
              <w:jc w:val="center"/>
              <w:rPr>
                <w:rFonts w:hint="eastAsia" w:ascii="仿宋_GB2312" w:hAnsi="宋体"/>
                <w:color w:val="000000"/>
              </w:rPr>
            </w:pPr>
            <w:r>
              <w:rPr>
                <w:rFonts w:hint="eastAsia" w:ascii="仿宋_GB2312" w:hAnsi="宋体"/>
                <w:color w:val="000000"/>
              </w:rPr>
              <w:t>（</w:t>
            </w:r>
            <w:r>
              <w:rPr>
                <w:rFonts w:hint="eastAsia" w:ascii="仿宋_GB2312" w:hAnsi="宋体" w:eastAsia="仿宋_GB2312"/>
                <w:color w:val="000000"/>
              </w:rPr>
              <w:t>5</w:t>
            </w:r>
            <w:r>
              <w:rPr>
                <w:rFonts w:hint="eastAsia" w:ascii="宋体" w:hAnsi="宋体"/>
                <w:color w:val="000000"/>
              </w:rPr>
              <w:t>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管理制度健全性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12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部门为加强预算管理、规范财务行为而制定的管理制度是否健全完整，用以反映和考核部门预算管理制度对完成主要职责或促进事业发展的保障情况。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已制定或具有预算资金管理办法、内部财务管理制度、会计核算制度等管理制度计1分；相关管理制度合法、合规、完整计0.5分；相关管理制度得到有效执行计0.5分。</w:t>
            </w:r>
          </w:p>
        </w:tc>
      </w:tr>
      <w:tr>
        <w:tblPrEx>
          <w:tblCellMar>
            <w:top w:w="0" w:type="dxa"/>
            <w:left w:w="0" w:type="dxa"/>
            <w:bottom w:w="0" w:type="dxa"/>
            <w:right w:w="0" w:type="dxa"/>
          </w:tblCellMar>
        </w:tblPrEx>
        <w:trPr>
          <w:trHeight w:val="1324"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420"/>
              <w:jc w:val="left"/>
              <w:rPr>
                <w:rFonts w:ascii="仿宋_GB2312" w:hAnsi="宋体"/>
                <w:color w:val="000000"/>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资金使用合规性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11</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部门使用预算资金是否符合相关的预算财务管理制度的规定，用以反映和考核部门预算资金的规范运行情况。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符合国家财经法规和财务管理制度规定以及有关专项资金管理办法的规定计0.2分；②资金的拨付有完整的审批程序和手续计0.2分；③项目的重大开支经过评估论证计0.2分；④符合部门预算批复的用途计0.2分；⑤不存在截留、挤占、挪用、虚列支出等情况计0.2分。</w:t>
            </w:r>
          </w:p>
        </w:tc>
      </w:tr>
      <w:tr>
        <w:tblPrEx>
          <w:tblCellMar>
            <w:top w:w="0" w:type="dxa"/>
            <w:left w:w="0" w:type="dxa"/>
            <w:bottom w:w="0" w:type="dxa"/>
            <w:right w:w="0" w:type="dxa"/>
          </w:tblCellMar>
        </w:tblPrEx>
        <w:trPr>
          <w:trHeight w:val="56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420"/>
              <w:jc w:val="left"/>
              <w:rPr>
                <w:rFonts w:ascii="仿宋_GB2312" w:hAnsi="宋体"/>
                <w:color w:val="000000"/>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预决算信息公开性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21</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部门是否按照政府信息公开有关规定公开相关预决算信息，用以反映和考核部门预决算管理的公开透明情况。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①按规定内容公开预决算信息计0.5分；②按规定时限公开预决算信息计0.5分。预决算信息是指与部门预算、执行、决算、监督、绩效等管理相关的信息。</w:t>
            </w:r>
          </w:p>
        </w:tc>
      </w:tr>
      <w:tr>
        <w:tblPrEx>
          <w:tblCellMar>
            <w:top w:w="0" w:type="dxa"/>
            <w:left w:w="0" w:type="dxa"/>
            <w:bottom w:w="0" w:type="dxa"/>
            <w:right w:w="0" w:type="dxa"/>
          </w:tblCellMar>
        </w:tblPrEx>
        <w:trPr>
          <w:trHeight w:val="94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420"/>
              <w:jc w:val="left"/>
              <w:rPr>
                <w:rFonts w:ascii="仿宋_GB2312" w:hAnsi="宋体"/>
                <w:color w:val="000000"/>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基础信息完善性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11</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部门基础信息是否完善，用以反映和考核基础信息对预算管理工作的支撑情况。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①基础数据信息和会计信息资料真实计0.4分；②基础数据信息和会计信息资料完整计0.3分；③基础数据信息和会计信息资料准确计0.3分。</w:t>
            </w:r>
          </w:p>
        </w:tc>
      </w:tr>
      <w:tr>
        <w:tblPrEx>
          <w:tblCellMar>
            <w:top w:w="0" w:type="dxa"/>
            <w:left w:w="0" w:type="dxa"/>
            <w:bottom w:w="0" w:type="dxa"/>
            <w:right w:w="0" w:type="dxa"/>
          </w:tblCellMar>
        </w:tblPrEx>
        <w:trPr>
          <w:trHeight w:val="1262"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restart"/>
            <w:tcBorders>
              <w:top w:val="nil"/>
              <w:left w:val="nil"/>
              <w:bottom w:val="nil"/>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资产</w:t>
            </w:r>
            <w:r>
              <w:rPr>
                <w:rFonts w:hint="eastAsia" w:ascii="仿宋_GB2312" w:hAnsi="宋体"/>
                <w:color w:val="000000"/>
              </w:rPr>
              <w:br w:type="textWrapping"/>
            </w:r>
            <w:r>
              <w:rPr>
                <w:rFonts w:hint="eastAsia" w:ascii="仿宋_GB2312" w:hAnsi="宋体"/>
                <w:color w:val="000000"/>
              </w:rPr>
              <w:t>管理</w:t>
            </w:r>
          </w:p>
          <w:p>
            <w:pPr>
              <w:spacing w:line="240" w:lineRule="exact"/>
              <w:ind w:firstLine="640"/>
              <w:jc w:val="center"/>
              <w:rPr>
                <w:rFonts w:hint="eastAsia" w:ascii="仿宋_GB2312" w:hAnsi="宋体"/>
                <w:color w:val="000000"/>
              </w:rPr>
            </w:pPr>
            <w:r>
              <w:rPr>
                <w:rFonts w:hint="eastAsia" w:ascii="仿宋_GB2312" w:hAnsi="宋体"/>
                <w:color w:val="000000"/>
              </w:rPr>
              <w:t>（</w:t>
            </w:r>
            <w:r>
              <w:rPr>
                <w:rFonts w:hint="eastAsia" w:ascii="仿宋_GB2312" w:hAnsi="宋体" w:eastAsia="仿宋_GB2312"/>
                <w:color w:val="000000"/>
              </w:rPr>
              <w:t>5</w:t>
            </w:r>
            <w:r>
              <w:rPr>
                <w:rFonts w:hint="eastAsia" w:ascii="宋体" w:hAnsi="宋体"/>
                <w:color w:val="000000"/>
              </w:rPr>
              <w:t>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管理制度健全性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22</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部门为加强资产管理、规范资产管理行为而制定的管理制度是否健全完整，用以反映和考核部门资产管理制度对完成主要职责或促进社会发展的保障情况。</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①制定或具有资产管理制度计1分；②相关资金管理制度合法、合规、完整计0.5分；③相关资产管理制度得到有效执行计0.5分。</w:t>
            </w:r>
          </w:p>
        </w:tc>
      </w:tr>
      <w:tr>
        <w:tblPrEx>
          <w:tblCellMar>
            <w:top w:w="0" w:type="dxa"/>
            <w:left w:w="0" w:type="dxa"/>
            <w:bottom w:w="0" w:type="dxa"/>
            <w:right w:w="0" w:type="dxa"/>
          </w:tblCellMar>
        </w:tblPrEx>
        <w:trPr>
          <w:trHeight w:val="105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nil"/>
              <w:right w:val="single" w:color="auto" w:sz="4" w:space="0"/>
            </w:tcBorders>
            <w:vAlign w:val="center"/>
          </w:tcPr>
          <w:p>
            <w:pPr>
              <w:widowControl/>
              <w:ind w:firstLine="420"/>
              <w:jc w:val="left"/>
              <w:rPr>
                <w:rFonts w:ascii="仿宋_GB2312" w:hAnsi="宋体"/>
                <w:color w:val="000000"/>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资产管理安全性</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（2分）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lang w:val="en-US" w:eastAsia="zh-CN"/>
              </w:rPr>
            </w:pPr>
            <w:r>
              <w:rPr>
                <w:rFonts w:hint="eastAsia" w:ascii="宋体" w:hAnsi="宋体"/>
                <w:color w:val="000000"/>
                <w:sz w:val="18"/>
                <w:szCs w:val="18"/>
                <w:lang w:val="en-US" w:eastAsia="zh-CN"/>
              </w:rPr>
              <w:t>2</w:t>
            </w: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部门的资产是否保存完整、使用合规、配置合理、处置规范、收入及时足额上缴，用以反映和考核部门资产安全运行情况。</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①资产保存完整计0.4分；②资产配置合理计0.4分；③资产处置规范计0.4分；④资产账务管理合规、帐实相符计0.4分；⑤资产有偿使用及处置收入及时足额上缴计0.4分。</w:t>
            </w:r>
          </w:p>
        </w:tc>
      </w:tr>
      <w:tr>
        <w:tblPrEx>
          <w:tblCellMar>
            <w:top w:w="0" w:type="dxa"/>
            <w:left w:w="0" w:type="dxa"/>
            <w:bottom w:w="0" w:type="dxa"/>
            <w:right w:w="0" w:type="dxa"/>
          </w:tblCellMar>
        </w:tblPrEx>
        <w:trPr>
          <w:trHeight w:val="88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nil"/>
              <w:right w:val="single" w:color="auto" w:sz="4" w:space="0"/>
            </w:tcBorders>
            <w:vAlign w:val="center"/>
          </w:tcPr>
          <w:p>
            <w:pPr>
              <w:widowControl/>
              <w:ind w:firstLine="420"/>
              <w:jc w:val="left"/>
              <w:rPr>
                <w:rFonts w:ascii="仿宋_GB2312" w:hAnsi="宋体"/>
                <w:color w:val="000000"/>
              </w:rPr>
            </w:pPr>
          </w:p>
        </w:tc>
        <w:tc>
          <w:tcPr>
            <w:tcW w:w="848"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固定资产利用率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eastAsia" w:ascii="宋体" w:hAnsi="宋体"/>
                <w:color w:val="000000"/>
                <w:sz w:val="18"/>
                <w:szCs w:val="18"/>
              </w:rPr>
            </w:pPr>
          </w:p>
          <w:p>
            <w:pPr>
              <w:bidi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w:t>
            </w:r>
          </w:p>
        </w:tc>
        <w:tc>
          <w:tcPr>
            <w:tcW w:w="279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部门实际在用固定资产总额与所有固定资产总额的比率，用以反映和考核部门固定资产使用效率程度。</w:t>
            </w:r>
          </w:p>
        </w:tc>
        <w:tc>
          <w:tcPr>
            <w:tcW w:w="4372"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固定资产利用率=（实际在用固定资产总额/所有固定资产总额）×100%。利用率为100%的计1分，每降1个百分点扣0.1分，扣完为止。</w:t>
            </w:r>
          </w:p>
        </w:tc>
      </w:tr>
      <w:tr>
        <w:tblPrEx>
          <w:tblCellMar>
            <w:top w:w="0" w:type="dxa"/>
            <w:left w:w="0" w:type="dxa"/>
            <w:bottom w:w="0" w:type="dxa"/>
            <w:right w:w="0" w:type="dxa"/>
          </w:tblCellMar>
        </w:tblPrEx>
        <w:trPr>
          <w:trHeight w:val="1314"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产  出（</w:t>
            </w:r>
            <w:r>
              <w:rPr>
                <w:rFonts w:hint="eastAsia" w:ascii="仿宋_GB2312" w:hAnsi="宋体" w:eastAsia="仿宋_GB2312"/>
                <w:color w:val="000000"/>
              </w:rPr>
              <w:t>30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仿宋_GB2312" w:hAnsi="宋体"/>
                <w:color w:val="000000"/>
                <w:sz w:val="18"/>
                <w:szCs w:val="18"/>
              </w:rPr>
            </w:pPr>
            <w:r>
              <w:rPr>
                <w:rFonts w:hint="eastAsia" w:ascii="仿宋_GB2312" w:hAnsi="宋体"/>
                <w:color w:val="000000"/>
                <w:sz w:val="18"/>
                <w:szCs w:val="18"/>
              </w:rPr>
              <w:t>职责</w:t>
            </w:r>
            <w:r>
              <w:rPr>
                <w:rFonts w:hint="eastAsia" w:ascii="仿宋_GB2312" w:hAnsi="宋体"/>
                <w:color w:val="000000"/>
                <w:sz w:val="18"/>
                <w:szCs w:val="18"/>
              </w:rPr>
              <w:br w:type="textWrapping"/>
            </w:r>
            <w:r>
              <w:rPr>
                <w:rFonts w:hint="eastAsia" w:ascii="仿宋_GB2312" w:hAnsi="宋体"/>
                <w:color w:val="000000"/>
                <w:sz w:val="18"/>
                <w:szCs w:val="18"/>
              </w:rPr>
              <w:t>履行</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实际</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完成率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（8分）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88</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部门履行职责而实际完成工作数与计划工作数的比率，用以反映和考核部门履职工作任务目标的实现程度。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实际完成率得分=完成市委市政府绩效考核得分或上级主管部门考核指标得分/指标分值*8分</w:t>
            </w:r>
          </w:p>
        </w:tc>
      </w:tr>
      <w:tr>
        <w:tblPrEx>
          <w:tblCellMar>
            <w:top w:w="0" w:type="dxa"/>
            <w:left w:w="0" w:type="dxa"/>
            <w:bottom w:w="0" w:type="dxa"/>
            <w:right w:w="0" w:type="dxa"/>
          </w:tblCellMar>
        </w:tblPrEx>
        <w:trPr>
          <w:trHeight w:val="1286"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完成</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及时率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（4分）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44</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部门在规定时限内及时完成的实际工作数与计划工作数的比率,用以反映和考核部门履职时效目标的实现程度。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完成及时率=（及时完成实际工作数/计划工作数）×100%。1-4季度各得1分</w:t>
            </w:r>
          </w:p>
        </w:tc>
      </w:tr>
      <w:tr>
        <w:tblPrEx>
          <w:tblCellMar>
            <w:top w:w="0" w:type="dxa"/>
            <w:left w:w="0" w:type="dxa"/>
            <w:bottom w:w="0" w:type="dxa"/>
            <w:right w:w="0" w:type="dxa"/>
          </w:tblCellMar>
        </w:tblPrEx>
        <w:trPr>
          <w:trHeight w:val="137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质量</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达标率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（8分）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88</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达到质量标准（绩效标准值）的实际工作数与计划工作数的比率,用以反映和考核部门履职质量目标的实现程度。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质量达标率=（质量达标实际工作数/计划工作数）×100%。实际得分=达标率*8分</w:t>
            </w:r>
          </w:p>
        </w:tc>
      </w:tr>
      <w:tr>
        <w:tblPrEx>
          <w:tblCellMar>
            <w:top w:w="0" w:type="dxa"/>
            <w:left w:w="0" w:type="dxa"/>
            <w:bottom w:w="0" w:type="dxa"/>
            <w:right w:w="0" w:type="dxa"/>
          </w:tblCellMar>
        </w:tblPrEx>
        <w:trPr>
          <w:trHeight w:val="119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重点工作办结率</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（10分）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110</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部门年度重点工作实际完成数与交办或下达数的比率，用以反映部门对重点工作的办理落实程度。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重点工作办结率=（重点工作实际完成数/交办或下达数）×100%。实际得分=办结率*10分</w:t>
            </w:r>
          </w:p>
        </w:tc>
      </w:tr>
      <w:tr>
        <w:tblPrEx>
          <w:tblCellMar>
            <w:top w:w="0" w:type="dxa"/>
            <w:left w:w="0" w:type="dxa"/>
            <w:bottom w:w="0" w:type="dxa"/>
            <w:right w:w="0" w:type="dxa"/>
          </w:tblCellMar>
        </w:tblPrEx>
        <w:trPr>
          <w:trHeight w:val="910" w:hRule="atLeast"/>
          <w:jc w:val="center"/>
        </w:trPr>
        <w:tc>
          <w:tcPr>
            <w:tcW w:w="828"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ind w:firstLine="640"/>
              <w:jc w:val="center"/>
              <w:rPr>
                <w:rFonts w:hint="eastAsia" w:ascii="仿宋_GB2312" w:hAnsi="宋体"/>
                <w:color w:val="000000"/>
              </w:rPr>
            </w:pPr>
            <w:r>
              <w:rPr>
                <w:rFonts w:hint="eastAsia" w:ascii="仿宋_GB2312" w:hAnsi="宋体"/>
                <w:color w:val="000000"/>
              </w:rPr>
              <w:t>效  果（</w:t>
            </w:r>
            <w:r>
              <w:rPr>
                <w:rFonts w:hint="eastAsia" w:ascii="仿宋_GB2312" w:hAnsi="宋体" w:eastAsia="仿宋_GB2312"/>
                <w:color w:val="000000"/>
              </w:rPr>
              <w:t>20</w:t>
            </w:r>
            <w:r>
              <w:rPr>
                <w:rFonts w:hint="eastAsia" w:ascii="宋体" w:hAnsi="宋体"/>
                <w:color w:val="000000"/>
              </w:rPr>
              <w:t>分）</w:t>
            </w:r>
          </w:p>
        </w:tc>
        <w:tc>
          <w:tcPr>
            <w:tcW w:w="78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仿宋_GB2312" w:hAnsi="宋体"/>
                <w:color w:val="000000"/>
                <w:sz w:val="18"/>
                <w:szCs w:val="18"/>
              </w:rPr>
            </w:pPr>
            <w:r>
              <w:rPr>
                <w:rFonts w:hint="eastAsia" w:ascii="仿宋_GB2312" w:hAnsi="宋体"/>
                <w:color w:val="000000"/>
                <w:sz w:val="18"/>
                <w:szCs w:val="18"/>
              </w:rPr>
              <w:t>履职</w:t>
            </w:r>
            <w:r>
              <w:rPr>
                <w:rFonts w:hint="eastAsia" w:ascii="仿宋_GB2312" w:hAnsi="宋体"/>
                <w:color w:val="000000"/>
                <w:sz w:val="18"/>
                <w:szCs w:val="18"/>
              </w:rPr>
              <w:br w:type="textWrapping"/>
            </w:r>
            <w:r>
              <w:rPr>
                <w:rFonts w:hint="eastAsia" w:ascii="仿宋_GB2312" w:hAnsi="宋体"/>
                <w:color w:val="000000"/>
                <w:sz w:val="18"/>
                <w:szCs w:val="18"/>
              </w:rPr>
              <w:t>效益</w:t>
            </w:r>
          </w:p>
          <w:p>
            <w:pPr>
              <w:spacing w:line="240" w:lineRule="exact"/>
              <w:ind w:firstLine="360"/>
              <w:jc w:val="center"/>
              <w:rPr>
                <w:rFonts w:hint="eastAsia" w:ascii="仿宋_GB2312" w:hAnsi="宋体"/>
                <w:color w:val="000000"/>
                <w:sz w:val="18"/>
                <w:szCs w:val="18"/>
              </w:rPr>
            </w:pPr>
            <w:r>
              <w:rPr>
                <w:rFonts w:hint="eastAsia" w:ascii="仿宋_GB2312" w:hAnsi="宋体"/>
                <w:color w:val="000000"/>
                <w:sz w:val="18"/>
                <w:szCs w:val="18"/>
              </w:rPr>
              <w:t>（</w:t>
            </w:r>
            <w:r>
              <w:rPr>
                <w:rFonts w:hint="eastAsia" w:ascii="仿宋_GB2312" w:hAnsi="宋体" w:eastAsia="仿宋_GB2312"/>
                <w:color w:val="000000"/>
                <w:sz w:val="18"/>
                <w:szCs w:val="18"/>
              </w:rPr>
              <w:t>20</w:t>
            </w:r>
            <w:r>
              <w:rPr>
                <w:rFonts w:hint="eastAsia" w:ascii="宋体" w:hAnsi="宋体"/>
                <w:color w:val="000000"/>
                <w:sz w:val="18"/>
                <w:szCs w:val="18"/>
              </w:rPr>
              <w:t>分）</w:t>
            </w: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经济效益</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33</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部门履行职责对经济发展所带来的直接或间接影响。</w:t>
            </w:r>
          </w:p>
        </w:tc>
        <w:tc>
          <w:tcPr>
            <w:tcW w:w="4372"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kern w:val="0"/>
                <w:sz w:val="18"/>
                <w:szCs w:val="18"/>
              </w:rPr>
              <w:t>按经济效益实现程度计算得分（5分）；按社会效益实现程度计算得分（5分）；按生态效益实现程度计算得分（5分）</w:t>
            </w:r>
          </w:p>
        </w:tc>
      </w:tr>
      <w:tr>
        <w:tblPrEx>
          <w:tblCellMar>
            <w:top w:w="0" w:type="dxa"/>
            <w:left w:w="0" w:type="dxa"/>
            <w:bottom w:w="0" w:type="dxa"/>
            <w:right w:w="0" w:type="dxa"/>
          </w:tblCellMar>
        </w:tblPrEx>
        <w:trPr>
          <w:trHeight w:val="810"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社会效益</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55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部门履行职责对社会发展所带来的直接或间接影响。</w:t>
            </w:r>
          </w:p>
        </w:tc>
        <w:tc>
          <w:tcPr>
            <w:tcW w:w="4372"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r>
      <w:tr>
        <w:tblPrEx>
          <w:tblCellMar>
            <w:top w:w="0" w:type="dxa"/>
            <w:left w:w="0" w:type="dxa"/>
            <w:bottom w:w="0" w:type="dxa"/>
            <w:right w:w="0" w:type="dxa"/>
          </w:tblCellMar>
        </w:tblPrEx>
        <w:trPr>
          <w:trHeight w:val="827"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生态效益</w:t>
            </w:r>
          </w:p>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55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部门履行职责对生态环境所带来的直接或间接影响。</w:t>
            </w:r>
          </w:p>
        </w:tc>
        <w:tc>
          <w:tcPr>
            <w:tcW w:w="4372" w:type="dxa"/>
            <w:vMerge w:val="continue"/>
            <w:tcBorders>
              <w:top w:val="nil"/>
              <w:left w:val="nil"/>
              <w:bottom w:val="single" w:color="auto" w:sz="4" w:space="0"/>
              <w:right w:val="single" w:color="auto" w:sz="4" w:space="0"/>
            </w:tcBorders>
            <w:vAlign w:val="center"/>
          </w:tcPr>
          <w:p>
            <w:pPr>
              <w:widowControl/>
              <w:ind w:firstLine="360"/>
              <w:jc w:val="left"/>
              <w:rPr>
                <w:rFonts w:ascii="宋体" w:hAnsi="宋体"/>
                <w:color w:val="000000"/>
                <w:sz w:val="18"/>
                <w:szCs w:val="18"/>
              </w:rPr>
            </w:pPr>
          </w:p>
        </w:tc>
      </w:tr>
      <w:tr>
        <w:tblPrEx>
          <w:tblCellMar>
            <w:top w:w="0" w:type="dxa"/>
            <w:left w:w="0" w:type="dxa"/>
            <w:bottom w:w="0" w:type="dxa"/>
            <w:right w:w="0" w:type="dxa"/>
          </w:tblCellMar>
        </w:tblPrEx>
        <w:trPr>
          <w:trHeight w:val="1296" w:hRule="atLeast"/>
          <w:jc w:val="center"/>
        </w:trPr>
        <w:tc>
          <w:tcPr>
            <w:tcW w:w="828" w:type="dxa"/>
            <w:vMerge w:val="continue"/>
            <w:tcBorders>
              <w:top w:val="nil"/>
              <w:left w:val="single" w:color="auto" w:sz="4" w:space="0"/>
              <w:bottom w:val="single" w:color="auto" w:sz="4" w:space="0"/>
              <w:right w:val="single" w:color="auto" w:sz="4" w:space="0"/>
            </w:tcBorders>
            <w:vAlign w:val="center"/>
          </w:tcPr>
          <w:p>
            <w:pPr>
              <w:widowControl/>
              <w:ind w:firstLine="420"/>
              <w:jc w:val="left"/>
              <w:rPr>
                <w:rFonts w:ascii="仿宋_GB2312" w:hAnsi="宋体"/>
                <w:color w:val="000000"/>
              </w:rPr>
            </w:pPr>
          </w:p>
        </w:tc>
        <w:tc>
          <w:tcPr>
            <w:tcW w:w="784" w:type="dxa"/>
            <w:vMerge w:val="continue"/>
            <w:tcBorders>
              <w:top w:val="nil"/>
              <w:left w:val="nil"/>
              <w:bottom w:val="single" w:color="auto" w:sz="4" w:space="0"/>
              <w:right w:val="single" w:color="auto" w:sz="4" w:space="0"/>
            </w:tcBorders>
            <w:vAlign w:val="center"/>
          </w:tcPr>
          <w:p>
            <w:pPr>
              <w:widowControl/>
              <w:ind w:firstLine="360"/>
              <w:jc w:val="left"/>
              <w:rPr>
                <w:rFonts w:ascii="仿宋_GB2312" w:hAnsi="宋体"/>
                <w:color w:val="000000"/>
                <w:sz w:val="18"/>
                <w:szCs w:val="18"/>
              </w:rPr>
            </w:pPr>
          </w:p>
        </w:tc>
        <w:tc>
          <w:tcPr>
            <w:tcW w:w="848"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ind w:firstLine="360"/>
              <w:jc w:val="center"/>
              <w:rPr>
                <w:rFonts w:hint="eastAsia" w:ascii="宋体" w:hAnsi="宋体"/>
                <w:color w:val="000000"/>
                <w:sz w:val="18"/>
                <w:szCs w:val="18"/>
              </w:rPr>
            </w:pPr>
            <w:r>
              <w:rPr>
                <w:rFonts w:hint="eastAsia" w:ascii="宋体" w:hAnsi="宋体"/>
                <w:color w:val="000000"/>
                <w:sz w:val="18"/>
                <w:szCs w:val="18"/>
              </w:rPr>
              <w:t>社会公众或服务对象满意度（5分）</w:t>
            </w:r>
          </w:p>
        </w:tc>
        <w:tc>
          <w:tcPr>
            <w:tcW w:w="368" w:type="dxa"/>
            <w:tcBorders>
              <w:top w:val="single" w:color="auto" w:sz="4" w:space="0"/>
              <w:left w:val="nil"/>
              <w:bottom w:val="single" w:color="auto" w:sz="4" w:space="0"/>
              <w:right w:val="single" w:color="auto" w:sz="4" w:space="0"/>
            </w:tcBorders>
            <w:vAlign w:val="center"/>
          </w:tcPr>
          <w:p>
            <w:pPr>
              <w:spacing w:line="240" w:lineRule="exact"/>
              <w:ind w:firstLine="360"/>
              <w:jc w:val="center"/>
              <w:rPr>
                <w:rFonts w:hint="default" w:ascii="宋体" w:hAnsi="宋体" w:eastAsia="宋体"/>
                <w:color w:val="000000"/>
                <w:sz w:val="18"/>
                <w:szCs w:val="18"/>
                <w:lang w:val="en-US" w:eastAsia="zh-CN"/>
              </w:rPr>
            </w:pPr>
            <w:r>
              <w:rPr>
                <w:rFonts w:hint="eastAsia" w:ascii="宋体" w:hAnsi="宋体"/>
                <w:color w:val="000000"/>
                <w:sz w:val="18"/>
                <w:szCs w:val="18"/>
                <w:lang w:val="en-US" w:eastAsia="zh-CN"/>
              </w:rPr>
              <w:t>55</w:t>
            </w:r>
          </w:p>
        </w:tc>
        <w:tc>
          <w:tcPr>
            <w:tcW w:w="279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sz w:val="18"/>
                <w:szCs w:val="18"/>
              </w:rPr>
              <w:t>社会公众或部门的服务对象对部门履职效果的满意程度。</w:t>
            </w:r>
          </w:p>
        </w:tc>
        <w:tc>
          <w:tcPr>
            <w:tcW w:w="4372" w:type="dxa"/>
            <w:tcBorders>
              <w:top w:val="nil"/>
              <w:left w:val="nil"/>
              <w:bottom w:val="single" w:color="auto" w:sz="4" w:space="0"/>
              <w:right w:val="single" w:color="auto" w:sz="4" w:space="0"/>
            </w:tcBorders>
            <w:tcMar>
              <w:top w:w="10" w:type="dxa"/>
              <w:left w:w="10" w:type="dxa"/>
              <w:bottom w:w="0" w:type="dxa"/>
              <w:right w:w="10" w:type="dxa"/>
            </w:tcMar>
            <w:vAlign w:val="center"/>
          </w:tcPr>
          <w:p>
            <w:pPr>
              <w:autoSpaceDE w:val="0"/>
              <w:spacing w:line="240" w:lineRule="exact"/>
              <w:ind w:left="42" w:leftChars="20" w:firstLine="360"/>
              <w:rPr>
                <w:rFonts w:hint="eastAsia" w:ascii="宋体" w:hAnsi="宋体"/>
                <w:color w:val="000000"/>
                <w:sz w:val="18"/>
                <w:szCs w:val="18"/>
              </w:rPr>
            </w:pPr>
            <w:r>
              <w:rPr>
                <w:rFonts w:hint="eastAsia" w:ascii="宋体" w:hAnsi="宋体"/>
                <w:color w:val="000000"/>
                <w:kern w:val="0"/>
                <w:sz w:val="18"/>
                <w:szCs w:val="18"/>
              </w:rPr>
              <w:t>按收集到的服务对象的满意率计算得分（5分）</w:t>
            </w:r>
          </w:p>
        </w:tc>
      </w:tr>
    </w:tbl>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pacing w:line="560" w:lineRule="exact"/>
        <w:ind w:firstLine="560"/>
        <w:rPr>
          <w:rFonts w:hint="eastAsia" w:ascii="黑体" w:hAnsi="黑体" w:eastAsia="黑体"/>
          <w:color w:val="000000"/>
          <w:sz w:val="28"/>
          <w:szCs w:val="28"/>
        </w:rPr>
      </w:pPr>
      <w:r>
        <w:rPr>
          <w:rFonts w:hint="eastAsia" w:ascii="黑体" w:hAnsi="黑体" w:eastAsia="黑体"/>
          <w:color w:val="000000"/>
          <w:sz w:val="28"/>
          <w:szCs w:val="28"/>
        </w:rPr>
        <w:t>附件2</w:t>
      </w:r>
    </w:p>
    <w:p>
      <w:pPr>
        <w:spacing w:line="600" w:lineRule="exact"/>
        <w:ind w:firstLine="880"/>
        <w:jc w:val="center"/>
        <w:rPr>
          <w:rFonts w:hint="eastAsia" w:ascii="方正小标宋_GBK" w:hAnsi="黑体" w:eastAsia="方正小标宋_GBK"/>
          <w:color w:val="000000"/>
          <w:sz w:val="44"/>
          <w:szCs w:val="44"/>
        </w:rPr>
      </w:pPr>
      <w:r>
        <w:rPr>
          <w:rFonts w:hint="eastAsia" w:ascii="方正小标宋_GBK" w:hAnsi="黑体" w:eastAsia="方正小标宋_GBK"/>
          <w:color w:val="000000"/>
          <w:sz w:val="44"/>
          <w:szCs w:val="44"/>
        </w:rPr>
        <w:t>2020年项目支出绩效自评指标计分表</w:t>
      </w:r>
    </w:p>
    <w:p>
      <w:pPr>
        <w:spacing w:line="400" w:lineRule="exact"/>
        <w:ind w:firstLine="880"/>
        <w:jc w:val="center"/>
        <w:rPr>
          <w:rFonts w:hint="eastAsia" w:ascii="方正小标宋_GBK" w:hAnsi="黑体" w:eastAsia="方正小标宋_GBK"/>
          <w:color w:val="000000"/>
          <w:sz w:val="44"/>
          <w:szCs w:val="44"/>
        </w:rPr>
      </w:pPr>
      <w:r>
        <w:rPr>
          <w:rFonts w:hint="eastAsia" w:ascii="方正小标宋_GBK" w:hAnsi="黑体" w:eastAsia="方正小标宋_GBK"/>
          <w:color w:val="000000"/>
          <w:sz w:val="44"/>
          <w:szCs w:val="44"/>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01"/>
        <w:gridCol w:w="848"/>
        <w:gridCol w:w="773"/>
        <w:gridCol w:w="712"/>
        <w:gridCol w:w="3136"/>
        <w:gridCol w:w="3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一级</w:t>
            </w:r>
          </w:p>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指标</w:t>
            </w:r>
          </w:p>
        </w:tc>
        <w:tc>
          <w:tcPr>
            <w:tcW w:w="848"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二级</w:t>
            </w:r>
          </w:p>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指标</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三级</w:t>
            </w:r>
          </w:p>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指标</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自评分</w:t>
            </w:r>
          </w:p>
        </w:tc>
        <w:tc>
          <w:tcPr>
            <w:tcW w:w="3136"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具体指标</w:t>
            </w:r>
          </w:p>
        </w:tc>
        <w:tc>
          <w:tcPr>
            <w:tcW w:w="3760"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黑体" w:hAnsi="黑体" w:eastAsia="黑体" w:cs="宋体"/>
                <w:color w:val="000000"/>
                <w:kern w:val="0"/>
                <w:sz w:val="20"/>
                <w:szCs w:val="20"/>
              </w:rPr>
            </w:pPr>
            <w:r>
              <w:rPr>
                <w:rFonts w:hint="eastAsia" w:ascii="黑体" w:hAnsi="黑体" w:eastAsia="黑体" w:cs="宋体"/>
                <w:color w:val="000000"/>
                <w:kern w:val="0"/>
                <w:sz w:val="20"/>
                <w:szCs w:val="20"/>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restart"/>
            <w:tcBorders>
              <w:top w:val="nil"/>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20</w:t>
            </w:r>
            <w:r>
              <w:rPr>
                <w:rFonts w:hint="eastAsia" w:ascii="宋体" w:hAnsi="宋体"/>
                <w:color w:val="000000"/>
                <w:kern w:val="0"/>
                <w:sz w:val="20"/>
                <w:szCs w:val="20"/>
              </w:rPr>
              <w:t>分）</w:t>
            </w:r>
          </w:p>
        </w:tc>
        <w:tc>
          <w:tcPr>
            <w:tcW w:w="848"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目标</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目标</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内容</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autoSpaceDE w:val="0"/>
              <w:spacing w:line="260" w:lineRule="exact"/>
              <w:ind w:left="42" w:leftChars="20"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设立了项目绩效目标；目标明确；目标细化；目标量化</w:t>
            </w:r>
          </w:p>
        </w:tc>
        <w:tc>
          <w:tcPr>
            <w:tcW w:w="3760" w:type="dxa"/>
            <w:tcBorders>
              <w:top w:val="single" w:color="auto" w:sz="4" w:space="0"/>
              <w:left w:val="nil"/>
              <w:bottom w:val="single" w:color="auto" w:sz="4" w:space="0"/>
              <w:right w:val="single" w:color="auto" w:sz="4" w:space="0"/>
            </w:tcBorders>
            <w:vAlign w:val="center"/>
          </w:tcPr>
          <w:p>
            <w:pPr>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设有目标（</w:t>
            </w:r>
            <w:r>
              <w:rPr>
                <w:rFonts w:hint="eastAsia" w:ascii="仿宋_GB2312" w:hAnsi="宋体" w:eastAsia="仿宋_GB2312"/>
                <w:color w:val="000000"/>
                <w:kern w:val="0"/>
                <w:sz w:val="20"/>
                <w:szCs w:val="20"/>
              </w:rPr>
              <w:t>1</w:t>
            </w:r>
            <w:r>
              <w:rPr>
                <w:rFonts w:hint="eastAsia" w:ascii="宋体" w:hAnsi="宋体"/>
                <w:color w:val="000000"/>
                <w:kern w:val="0"/>
                <w:sz w:val="20"/>
                <w:szCs w:val="20"/>
              </w:rPr>
              <w:t xml:space="preserve">分）   </w:t>
            </w:r>
          </w:p>
          <w:p>
            <w:pPr>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目标明确（</w:t>
            </w:r>
            <w:r>
              <w:rPr>
                <w:rFonts w:hint="eastAsia" w:ascii="仿宋_GB2312" w:hAnsi="宋体" w:eastAsia="仿宋_GB2312"/>
                <w:color w:val="000000"/>
                <w:kern w:val="0"/>
                <w:sz w:val="20"/>
                <w:szCs w:val="20"/>
              </w:rPr>
              <w:t>1</w:t>
            </w:r>
            <w:r>
              <w:rPr>
                <w:rFonts w:hint="eastAsia" w:ascii="宋体" w:hAnsi="宋体"/>
                <w:color w:val="000000"/>
                <w:kern w:val="0"/>
                <w:sz w:val="20"/>
                <w:szCs w:val="20"/>
              </w:rPr>
              <w:t xml:space="preserve">分）   </w:t>
            </w:r>
          </w:p>
          <w:p>
            <w:pPr>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目标细化（</w:t>
            </w:r>
            <w:r>
              <w:rPr>
                <w:rFonts w:hint="eastAsia" w:ascii="仿宋_GB2312" w:hAnsi="宋体" w:eastAsia="仿宋_GB2312"/>
                <w:color w:val="000000"/>
                <w:kern w:val="0"/>
                <w:sz w:val="20"/>
                <w:szCs w:val="20"/>
              </w:rPr>
              <w:t>1</w:t>
            </w:r>
            <w:r>
              <w:rPr>
                <w:rFonts w:hint="eastAsia" w:ascii="宋体" w:hAnsi="宋体"/>
                <w:color w:val="000000"/>
                <w:kern w:val="0"/>
                <w:sz w:val="20"/>
                <w:szCs w:val="20"/>
              </w:rPr>
              <w:t xml:space="preserve">分）    </w:t>
            </w:r>
          </w:p>
          <w:p>
            <w:pPr>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目标量化（</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过程</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依据</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有关法律法规的明确规定；某一经济社会发展规划；某部门年度工作计划；某一实际问题和需求</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符合法律法规（</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分）符合经济社会发展规划（</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部门年度工作计划（</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针对某一实际问题和需求（</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决策</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程序</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项目符合申报条件；申报、批复程序符合相关管理办法；项目调整履行了相应手续</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符合申报条件（</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分）项目申报、批复程序符合管理办法（</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项目调整履行了相应手续（</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分配</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分配</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办法</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根据需要制定的相关资金管理办法；管理办法中有明确资金分配办法；资金分配因素全面、合理</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有相应的资金管理办法（</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办法健全、规范（</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因素全面合理（</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分配</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结果</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资金分配符合相关管理办法；分配结果公平合理</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符合分配办法（</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分配公平合理（</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restart"/>
            <w:tcBorders>
              <w:top w:val="nil"/>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管理 （</w:t>
            </w:r>
            <w:r>
              <w:rPr>
                <w:rFonts w:hint="eastAsia" w:ascii="仿宋_GB2312" w:hAnsi="宋体" w:eastAsia="仿宋_GB2312"/>
                <w:color w:val="000000"/>
                <w:kern w:val="0"/>
                <w:sz w:val="20"/>
                <w:szCs w:val="20"/>
              </w:rPr>
              <w:t>25</w:t>
            </w:r>
            <w:r>
              <w:rPr>
                <w:rFonts w:hint="eastAsia" w:ascii="宋体" w:hAnsi="宋体"/>
                <w:color w:val="000000"/>
                <w:kern w:val="0"/>
                <w:sz w:val="20"/>
                <w:szCs w:val="20"/>
              </w:rPr>
              <w:t>分）</w:t>
            </w: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到位</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到位率</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2</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实际到位</w:t>
            </w:r>
            <w:r>
              <w:rPr>
                <w:rFonts w:hint="eastAsia" w:ascii="仿宋_GB2312" w:hAnsi="宋体" w:eastAsia="仿宋_GB2312"/>
                <w:color w:val="000000"/>
                <w:kern w:val="0"/>
                <w:sz w:val="20"/>
                <w:szCs w:val="20"/>
              </w:rPr>
              <w:t>/</w:t>
            </w:r>
            <w:r>
              <w:rPr>
                <w:rFonts w:hint="eastAsia" w:ascii="宋体" w:hAnsi="宋体"/>
                <w:color w:val="000000"/>
                <w:kern w:val="0"/>
                <w:sz w:val="20"/>
                <w:szCs w:val="20"/>
              </w:rPr>
              <w:t>计划到位</w:t>
            </w:r>
            <w:r>
              <w:rPr>
                <w:rFonts w:hint="eastAsia" w:ascii="仿宋_GB2312" w:hAnsi="宋体" w:eastAsia="仿宋_GB2312"/>
                <w:color w:val="000000"/>
                <w:kern w:val="0"/>
                <w:sz w:val="20"/>
                <w:szCs w:val="20"/>
              </w:rPr>
              <w:t>*100%</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根据项目资金的实际到位率计算得分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到位</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时效</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1</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资金及时到位；若未及时到位，是否影响项目进度</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到位及时（</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不及时但未影响项目进度 （</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不及时并影响项目进度（</w:t>
            </w:r>
            <w:r>
              <w:rPr>
                <w:rFonts w:hint="eastAsia" w:ascii="仿宋_GB2312" w:hAnsi="宋体" w:eastAsia="仿宋_GB2312"/>
                <w:color w:val="000000"/>
                <w:kern w:val="0"/>
                <w:sz w:val="20"/>
                <w:szCs w:val="20"/>
              </w:rPr>
              <w:t>0.5</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管理</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10</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使用</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7</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7</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支出依据合规，无虚列项目支出情况；无截留挤占挪用情况；无超标准开支情况；无超预算情况</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虚列套取扣</w:t>
            </w:r>
            <w:r>
              <w:rPr>
                <w:rFonts w:hint="eastAsia" w:ascii="仿宋_GB2312" w:hAnsi="宋体" w:eastAsia="仿宋_GB2312"/>
                <w:color w:val="000000"/>
                <w:kern w:val="0"/>
                <w:sz w:val="20"/>
                <w:szCs w:val="20"/>
              </w:rPr>
              <w:t>4-7</w:t>
            </w:r>
            <w:r>
              <w:rPr>
                <w:rFonts w:hint="eastAsia" w:ascii="宋体" w:hAnsi="宋体"/>
                <w:color w:val="000000"/>
                <w:kern w:val="0"/>
                <w:sz w:val="20"/>
                <w:szCs w:val="20"/>
              </w:rPr>
              <w:t xml:space="preserve">分 </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依据不合规扣</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截留、挤占、挪用扣</w:t>
            </w:r>
            <w:r>
              <w:rPr>
                <w:rFonts w:hint="eastAsia" w:ascii="仿宋_GB2312" w:hAnsi="宋体" w:eastAsia="仿宋_GB2312"/>
                <w:color w:val="000000"/>
                <w:kern w:val="0"/>
                <w:sz w:val="20"/>
                <w:szCs w:val="20"/>
              </w:rPr>
              <w:t>3-6</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color w:val="000000"/>
                <w:kern w:val="0"/>
                <w:sz w:val="20"/>
                <w:szCs w:val="20"/>
              </w:rPr>
            </w:pPr>
            <w:r>
              <w:rPr>
                <w:rFonts w:hint="eastAsia" w:ascii="仿宋_GB2312" w:hAnsi="宋体"/>
                <w:color w:val="000000"/>
                <w:kern w:val="0"/>
                <w:sz w:val="20"/>
                <w:szCs w:val="20"/>
              </w:rPr>
              <w:t>超标准开支扣</w:t>
            </w:r>
            <w:r>
              <w:rPr>
                <w:rFonts w:hint="eastAsia" w:ascii="仿宋_GB2312" w:hAnsi="宋体" w:eastAsia="仿宋_GB2312"/>
                <w:color w:val="000000"/>
                <w:kern w:val="0"/>
                <w:sz w:val="20"/>
                <w:szCs w:val="20"/>
              </w:rPr>
              <w:t>2-5</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超预算扣</w:t>
            </w:r>
            <w:r>
              <w:rPr>
                <w:rFonts w:hint="eastAsia" w:ascii="仿宋_GB2312" w:hAnsi="宋体" w:eastAsia="仿宋_GB2312"/>
                <w:color w:val="000000"/>
                <w:kern w:val="0"/>
                <w:sz w:val="20"/>
                <w:szCs w:val="20"/>
              </w:rPr>
              <w:t>2-5</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财务</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管理</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资金管理、费用支出等制度健全；制度执行严格；会计核算规范</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财务制度健全（</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分）严格执行制度（</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分）会计核算规范（</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组织</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实施</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10</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组织</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机构</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1</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机构健全、分工明确</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242" w:leftChars="20" w:hanging="200" w:hangingChars="1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机构健全、分工明确  （</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实施</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项目按计划开工；按计划进度开展；按计划完工</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按计划开工（</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  按计划开展（</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   按计划完工（</w:t>
            </w:r>
            <w:r>
              <w:rPr>
                <w:rFonts w:hint="eastAsia" w:ascii="仿宋_GB2312" w:hAnsi="宋体" w:eastAsia="仿宋_GB2312"/>
                <w:color w:val="000000"/>
                <w:kern w:val="0"/>
                <w:sz w:val="20"/>
                <w:szCs w:val="20"/>
              </w:rPr>
              <w:t>1</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管理</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制度</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6</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6</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项目管理制度健全；严格执行相关管理制度</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管理制度健全（</w:t>
            </w:r>
            <w:r>
              <w:rPr>
                <w:rFonts w:hint="eastAsia" w:ascii="仿宋_GB2312" w:hAnsi="宋体" w:eastAsia="仿宋_GB2312"/>
                <w:color w:val="000000"/>
                <w:kern w:val="0"/>
                <w:sz w:val="20"/>
                <w:szCs w:val="20"/>
              </w:rPr>
              <w:t>2</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制度执行严格（</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restart"/>
            <w:tcBorders>
              <w:top w:val="nil"/>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绩效</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55</w:t>
            </w:r>
            <w:r>
              <w:rPr>
                <w:rFonts w:hint="eastAsia" w:ascii="宋体" w:hAnsi="宋体"/>
                <w:color w:val="000000"/>
                <w:kern w:val="0"/>
                <w:sz w:val="20"/>
                <w:szCs w:val="20"/>
              </w:rPr>
              <w:t>分）</w:t>
            </w: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15</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数量</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根据该项目实际，标识具体明确的产出数量</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对照绩效目标，按实际产出数量率计算得分（</w:t>
            </w:r>
            <w:r>
              <w:rPr>
                <w:rFonts w:hint="eastAsia" w:ascii="仿宋_GB2312" w:hAnsi="宋体" w:eastAsia="仿宋_GB2312"/>
                <w:color w:val="000000"/>
                <w:kern w:val="0"/>
                <w:sz w:val="20"/>
                <w:szCs w:val="20"/>
              </w:rPr>
              <w:t>5</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质量</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4</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根据该项目实际，标识具体明确的产出质量</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对照绩效目标，按实际产出质量率计算得分（</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时效</w:t>
            </w:r>
          </w:p>
          <w:p>
            <w:pPr>
              <w:widowControl/>
              <w:spacing w:line="260" w:lineRule="exact"/>
              <w:ind w:firstLine="400"/>
              <w:jc w:val="center"/>
              <w:rPr>
                <w:rFonts w:hint="eastAsia" w:ascii="宋体" w:hAnsi="宋体" w:eastAsia="宋体"/>
                <w:color w:val="000000"/>
                <w:kern w:val="0"/>
                <w:sz w:val="20"/>
                <w:szCs w:val="20"/>
                <w:lang w:val="en-US" w:eastAsia="zh-CN"/>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r>
              <w:rPr>
                <w:rFonts w:hint="eastAsia" w:ascii="宋体" w:hAnsi="宋体"/>
                <w:color w:val="000000"/>
                <w:kern w:val="0"/>
                <w:sz w:val="20"/>
                <w:szCs w:val="20"/>
                <w:lang w:val="en-US" w:eastAsia="zh-CN"/>
              </w:rPr>
              <w:t>)</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根据该项目实际，标识具体明确的产出时效</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对照绩效目标，按实际产出时效率计算得分（</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产出</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成本</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根据该项目实际，标识具体明确的产出成本</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对照绩效目标，按实际产出成本率计算得分（</w:t>
            </w:r>
            <w:r>
              <w:rPr>
                <w:rFonts w:hint="eastAsia" w:ascii="仿宋_GB2312" w:hAnsi="宋体" w:eastAsia="仿宋_GB2312"/>
                <w:color w:val="000000"/>
                <w:kern w:val="0"/>
                <w:sz w:val="20"/>
                <w:szCs w:val="20"/>
              </w:rPr>
              <w:t>3</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restart"/>
            <w:tcBorders>
              <w:top w:val="nil"/>
              <w:left w:val="nil"/>
              <w:bottom w:val="single" w:color="auto" w:sz="4" w:space="0"/>
              <w:right w:val="single" w:color="auto" w:sz="4" w:space="0"/>
            </w:tcBorders>
            <w:vAlign w:val="center"/>
          </w:tcPr>
          <w:p>
            <w:pPr>
              <w:widowControl/>
              <w:spacing w:line="260" w:lineRule="exact"/>
              <w:ind w:firstLine="400"/>
              <w:rPr>
                <w:rFonts w:hint="eastAsia" w:ascii="仿宋_GB2312" w:hAnsi="宋体" w:eastAsia="仿宋_GB2312" w:cs="宋体"/>
                <w:color w:val="000000"/>
                <w:kern w:val="0"/>
                <w:sz w:val="20"/>
                <w:szCs w:val="20"/>
              </w:rPr>
            </w:pP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项目</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效果</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40</w:t>
            </w:r>
            <w:r>
              <w:rPr>
                <w:rFonts w:hint="eastAsia" w:ascii="宋体" w:hAnsi="宋体"/>
                <w:color w:val="000000"/>
                <w:kern w:val="0"/>
                <w:sz w:val="20"/>
                <w:szCs w:val="20"/>
              </w:rPr>
              <w:t>分）</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经济</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效益</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3</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根据项目实际，标识所产生的直接或间接的经济效益</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对照绩效目标，按经济效益实现程度计算得分（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5"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社会</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效益</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8</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根据项目实际，标识所产生的社会效益</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对照绩效目标，按社会效益实现程度计算得分（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环境</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效益</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8</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根据项目实际，标识对环境所产生的积极或消极影响</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对照绩效目标，按对环境所产生的实际影响程度计算得分（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可持续影响</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5</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项目产出能持续运用；项目运行所依赖的政策制度能持续执行</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项目产出能持续运用（</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所依赖的政策制度能持续执行（</w:t>
            </w:r>
            <w:r>
              <w:rPr>
                <w:rFonts w:hint="eastAsia" w:ascii="仿宋_GB2312" w:hAnsi="宋体" w:eastAsia="仿宋_GB2312"/>
                <w:color w:val="000000"/>
                <w:kern w:val="0"/>
                <w:sz w:val="20"/>
                <w:szCs w:val="20"/>
              </w:rPr>
              <w:t>4</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vMerge w:val="continue"/>
            <w:tcBorders>
              <w:top w:val="nil"/>
              <w:left w:val="single" w:color="auto" w:sz="4" w:space="0"/>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848" w:type="dxa"/>
            <w:vMerge w:val="continue"/>
            <w:tcBorders>
              <w:top w:val="nil"/>
              <w:left w:val="nil"/>
              <w:bottom w:val="single" w:color="auto" w:sz="4" w:space="0"/>
              <w:right w:val="single" w:color="auto" w:sz="4" w:space="0"/>
            </w:tcBorders>
            <w:vAlign w:val="center"/>
          </w:tcPr>
          <w:p>
            <w:pPr>
              <w:widowControl/>
              <w:ind w:firstLine="400"/>
              <w:jc w:val="left"/>
              <w:rPr>
                <w:rFonts w:ascii="仿宋_GB2312" w:hAnsi="宋体" w:eastAsia="仿宋_GB2312" w:cs="宋体"/>
                <w:color w:val="000000"/>
                <w:kern w:val="0"/>
                <w:sz w:val="20"/>
                <w:szCs w:val="20"/>
              </w:rPr>
            </w:pP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服务</w:t>
            </w:r>
          </w:p>
          <w:p>
            <w:pPr>
              <w:widowControl/>
              <w:spacing w:line="260" w:lineRule="exact"/>
              <w:ind w:firstLine="400"/>
              <w:jc w:val="center"/>
              <w:rPr>
                <w:rFonts w:hint="eastAsia" w:ascii="仿宋_GB2312" w:hAnsi="宋体"/>
                <w:color w:val="000000"/>
                <w:kern w:val="0"/>
                <w:sz w:val="20"/>
                <w:szCs w:val="20"/>
              </w:rPr>
            </w:pPr>
            <w:r>
              <w:rPr>
                <w:rFonts w:hint="eastAsia" w:ascii="仿宋_GB2312" w:hAnsi="宋体"/>
                <w:color w:val="000000"/>
                <w:kern w:val="0"/>
                <w:sz w:val="20"/>
                <w:szCs w:val="20"/>
              </w:rPr>
              <w:t>对象满意度</w:t>
            </w:r>
          </w:p>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both"/>
              <w:rPr>
                <w:rFonts w:hint="eastAsia"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lang w:val="en-US" w:eastAsia="zh-CN"/>
              </w:rPr>
              <w:t>8</w:t>
            </w:r>
          </w:p>
        </w:tc>
        <w:tc>
          <w:tcPr>
            <w:tcW w:w="3136"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项目预期服务对象对项目实施的满意程度</w:t>
            </w:r>
          </w:p>
        </w:tc>
        <w:tc>
          <w:tcPr>
            <w:tcW w:w="3760" w:type="dxa"/>
            <w:tcBorders>
              <w:top w:val="single" w:color="auto" w:sz="4" w:space="0"/>
              <w:left w:val="nil"/>
              <w:bottom w:val="single" w:color="auto" w:sz="4" w:space="0"/>
              <w:right w:val="single" w:color="auto" w:sz="4" w:space="0"/>
            </w:tcBorders>
            <w:vAlign w:val="center"/>
          </w:tcPr>
          <w:p>
            <w:pPr>
              <w:widowControl/>
              <w:autoSpaceDE w:val="0"/>
              <w:spacing w:line="260" w:lineRule="exact"/>
              <w:ind w:left="42" w:leftChars="20" w:firstLine="400"/>
              <w:jc w:val="left"/>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按收集到的项目服务对象的满意率计算得分（</w:t>
            </w:r>
            <w:r>
              <w:rPr>
                <w:rFonts w:hint="eastAsia" w:ascii="仿宋_GB2312" w:hAnsi="宋体" w:eastAsia="仿宋_GB2312"/>
                <w:color w:val="000000"/>
                <w:kern w:val="0"/>
                <w:sz w:val="20"/>
                <w:szCs w:val="20"/>
              </w:rPr>
              <w:t>8</w:t>
            </w:r>
            <w:r>
              <w:rPr>
                <w:rFonts w:hint="eastAsia" w:ascii="宋体" w:hAnsi="宋体"/>
                <w:color w:val="000000"/>
                <w:kern w:val="0"/>
                <w:sz w:val="20"/>
                <w:szCs w:val="20"/>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1" w:hRule="atLeast"/>
          <w:jc w:val="center"/>
        </w:trPr>
        <w:tc>
          <w:tcPr>
            <w:tcW w:w="801" w:type="dxa"/>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黑体" w:hAnsi="黑体" w:eastAsia="黑体"/>
                <w:color w:val="000000"/>
                <w:kern w:val="0"/>
                <w:sz w:val="20"/>
                <w:szCs w:val="20"/>
              </w:rPr>
              <w:t>总</w:t>
            </w:r>
            <w:r>
              <w:rPr>
                <w:rFonts w:ascii="Calibri" w:hAnsi="Calibri" w:eastAsia="黑体" w:cs="Calibri"/>
                <w:color w:val="000000"/>
                <w:kern w:val="0"/>
                <w:sz w:val="20"/>
                <w:szCs w:val="20"/>
              </w:rPr>
              <w:t> </w:t>
            </w:r>
            <w:r>
              <w:rPr>
                <w:rFonts w:hint="eastAsia" w:ascii="黑体" w:hAnsi="黑体" w:eastAsia="黑体"/>
                <w:color w:val="000000"/>
                <w:kern w:val="0"/>
                <w:sz w:val="20"/>
                <w:szCs w:val="20"/>
              </w:rPr>
              <w:t>分</w:t>
            </w:r>
          </w:p>
        </w:tc>
        <w:tc>
          <w:tcPr>
            <w:tcW w:w="848"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　</w:t>
            </w:r>
          </w:p>
        </w:tc>
        <w:tc>
          <w:tcPr>
            <w:tcW w:w="773"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　</w:t>
            </w:r>
          </w:p>
        </w:tc>
        <w:tc>
          <w:tcPr>
            <w:tcW w:w="712"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p>
        </w:tc>
        <w:tc>
          <w:tcPr>
            <w:tcW w:w="3136"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　</w:t>
            </w:r>
          </w:p>
        </w:tc>
        <w:tc>
          <w:tcPr>
            <w:tcW w:w="3760" w:type="dxa"/>
            <w:tcBorders>
              <w:top w:val="single" w:color="auto" w:sz="4" w:space="0"/>
              <w:left w:val="nil"/>
              <w:bottom w:val="single" w:color="auto" w:sz="4" w:space="0"/>
              <w:right w:val="single" w:color="auto" w:sz="4" w:space="0"/>
            </w:tcBorders>
            <w:vAlign w:val="center"/>
          </w:tcPr>
          <w:p>
            <w:pPr>
              <w:widowControl/>
              <w:spacing w:line="260" w:lineRule="exact"/>
              <w:ind w:firstLine="400"/>
              <w:jc w:val="center"/>
              <w:rPr>
                <w:rFonts w:hint="eastAsia" w:ascii="仿宋_GB2312" w:hAnsi="宋体" w:eastAsia="仿宋_GB2312" w:cs="宋体"/>
                <w:color w:val="000000"/>
                <w:kern w:val="0"/>
                <w:sz w:val="20"/>
                <w:szCs w:val="20"/>
              </w:rPr>
            </w:pPr>
            <w:r>
              <w:rPr>
                <w:rFonts w:hint="eastAsia" w:ascii="仿宋_GB2312" w:hAnsi="宋体"/>
                <w:color w:val="000000"/>
                <w:kern w:val="0"/>
                <w:sz w:val="20"/>
                <w:szCs w:val="20"/>
              </w:rPr>
              <w:t>　</w:t>
            </w:r>
          </w:p>
        </w:tc>
      </w:tr>
    </w:tbl>
    <w:p>
      <w:pPr>
        <w:ind w:firstLine="640"/>
        <w:rPr>
          <w:rFonts w:hint="eastAsia" w:ascii="仿宋_GB2312" w:hAnsi="宋体"/>
          <w:color w:val="000000"/>
        </w:rPr>
      </w:pPr>
      <w:r>
        <w:rPr>
          <w:rFonts w:hint="eastAsia" w:ascii="仿宋_GB2312" w:hAnsi="宋体"/>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ascii="仿宋_GB2312" w:eastAsia="仿宋_GB2312"/>
          <w:color w:val="000000"/>
        </w:rPr>
      </w:pPr>
      <w:r>
        <w:rPr>
          <w:rFonts w:hint="eastAsia" w:ascii="仿宋_GB2312" w:eastAsia="仿宋_GB2312"/>
          <w:color w:val="000000"/>
        </w:rPr>
        <w:t xml:space="preserve"> </w:t>
      </w:r>
    </w:p>
    <w:p>
      <w:pPr>
        <w:shd w:val="clear" w:color="auto" w:fill="FFFFFF"/>
        <w:spacing w:line="580" w:lineRule="exact"/>
        <w:ind w:firstLine="640"/>
        <w:rPr>
          <w:rFonts w:hint="eastAsia" w:eastAsia="仿宋_GB2312"/>
          <w:lang w:val="en-US" w:eastAsia="zh-CN"/>
        </w:rPr>
      </w:pPr>
      <w:r>
        <w:rPr>
          <w:rFonts w:hint="eastAsia" w:ascii="仿宋_GB2312" w:eastAsia="仿宋_GB2312"/>
          <w:color w:val="000000"/>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1FE"/>
    <w:rsid w:val="00670E51"/>
    <w:rsid w:val="00BE467A"/>
    <w:rsid w:val="00CB31FE"/>
    <w:rsid w:val="0D8263BF"/>
    <w:rsid w:val="2DA044B2"/>
    <w:rsid w:val="46696DED"/>
    <w:rsid w:val="5B343480"/>
    <w:rsid w:val="5B775FA6"/>
    <w:rsid w:val="5E4C2B86"/>
    <w:rsid w:val="664453F5"/>
    <w:rsid w:val="67B80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6"/>
    <w:qFormat/>
    <w:uiPriority w:val="9"/>
    <w:pPr>
      <w:keepNext/>
      <w:keepLines/>
      <w:spacing w:before="340" w:after="330" w:line="560" w:lineRule="exact"/>
      <w:jc w:val="center"/>
      <w:outlineLvl w:val="0"/>
    </w:pPr>
    <w:rPr>
      <w:rFonts w:ascii="Calibri" w:hAnsi="Calibri" w:eastAsia="方正小标宋_GBK" w:cs="Calibri"/>
      <w:bCs/>
      <w:kern w:val="44"/>
      <w:sz w:val="44"/>
      <w:szCs w:val="44"/>
    </w:rPr>
  </w:style>
  <w:style w:type="paragraph" w:styleId="3">
    <w:name w:val="heading 3"/>
    <w:basedOn w:val="1"/>
    <w:next w:val="1"/>
    <w:link w:val="7"/>
    <w:unhideWhenUsed/>
    <w:qFormat/>
    <w:uiPriority w:val="9"/>
    <w:pPr>
      <w:keepNext/>
      <w:keepLines/>
      <w:spacing w:before="260" w:after="260" w:line="560" w:lineRule="exact"/>
      <w:ind w:firstLine="200" w:firstLineChars="200"/>
      <w:outlineLvl w:val="2"/>
    </w:pPr>
    <w:rPr>
      <w:rFonts w:ascii="Calibri" w:hAnsi="Calibri" w:eastAsia="楷体" w:cs="Calibri"/>
      <w:bCs/>
      <w:sz w:val="32"/>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customStyle="1" w:styleId="6">
    <w:name w:val="标题 1 字符"/>
    <w:basedOn w:val="5"/>
    <w:link w:val="2"/>
    <w:uiPriority w:val="9"/>
    <w:rPr>
      <w:rFonts w:ascii="Calibri" w:hAnsi="Calibri" w:eastAsia="方正小标宋_GBK" w:cs="Calibri"/>
      <w:bCs/>
      <w:kern w:val="44"/>
      <w:sz w:val="44"/>
      <w:szCs w:val="44"/>
    </w:rPr>
  </w:style>
  <w:style w:type="character" w:customStyle="1" w:styleId="7">
    <w:name w:val="标题 3 字符"/>
    <w:basedOn w:val="5"/>
    <w:link w:val="3"/>
    <w:uiPriority w:val="9"/>
    <w:rPr>
      <w:rFonts w:ascii="Calibri" w:hAnsi="Calibri" w:eastAsia="楷体" w:cs="Calibri"/>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1026</Words>
  <Characters>5851</Characters>
  <Lines>48</Lines>
  <Paragraphs>13</Paragraphs>
  <TotalTime>20</TotalTime>
  <ScaleCrop>false</ScaleCrop>
  <LinksUpToDate>false</LinksUpToDate>
  <CharactersWithSpaces>6864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2021-03-03T06:49:00Z</dcterms:created>
  <dc:creator>Administrator</dc:creator>
  <cp:lastModifiedBy>Administrator</cp:lastModifiedBy>
  <dcterms:modified xsi:type="dcterms:W3CDTF">2021-03-10T08:55:59Z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