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lang w:eastAsia="zh-CN"/>
        </w:rPr>
        <w:t>南县德昌实验学校</w:t>
      </w:r>
      <w:r>
        <w:rPr>
          <w:rFonts w:hint="eastAsia" w:asciiTheme="minorEastAsia" w:hAnsiTheme="minorEastAsia" w:eastAsiaTheme="minorEastAsia" w:cstheme="minorEastAsia"/>
          <w:b/>
          <w:bCs/>
          <w:color w:val="auto"/>
          <w:sz w:val="44"/>
          <w:szCs w:val="44"/>
        </w:rPr>
        <w:t>20</w:t>
      </w:r>
      <w:r>
        <w:rPr>
          <w:rFonts w:hint="eastAsia" w:asciiTheme="minorEastAsia" w:hAnsiTheme="minorEastAsia" w:eastAsiaTheme="minorEastAsia" w:cstheme="minorEastAsia"/>
          <w:b/>
          <w:bCs/>
          <w:color w:val="auto"/>
          <w:sz w:val="44"/>
          <w:szCs w:val="44"/>
          <w:lang w:val="en-US" w:eastAsia="zh-CN"/>
        </w:rPr>
        <w:t>20</w:t>
      </w:r>
      <w:r>
        <w:rPr>
          <w:rFonts w:hint="eastAsia" w:asciiTheme="minorEastAsia" w:hAnsiTheme="minorEastAsia" w:eastAsiaTheme="minorEastAsia" w:cstheme="minorEastAsia"/>
          <w:b/>
          <w:bCs/>
          <w:color w:val="auto"/>
          <w:sz w:val="44"/>
          <w:szCs w:val="44"/>
        </w:rPr>
        <w:t>年度预算绩效自评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工 作 报 告</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 w:eastAsia="仿宋_GB2312" w:cs="仿宋"/>
          <w:color w:val="auto"/>
          <w:sz w:val="32"/>
          <w:szCs w:val="32"/>
        </w:rPr>
      </w:pPr>
      <w:r>
        <w:rPr>
          <w:rFonts w:hint="eastAsia" w:ascii="仿宋_GB2312" w:hAnsi="宋体" w:eastAsia="仿宋_GB2312"/>
          <w:color w:val="auto"/>
          <w:sz w:val="32"/>
          <w:shd w:val="clear" w:color="auto" w:fill="FFFFFF"/>
        </w:rPr>
        <w:t>为进一步规范财政资金管理，牢固树立预算绩效理念，强化部门支出责任,提高财政资金使用效益</w:t>
      </w:r>
      <w:r>
        <w:rPr>
          <w:rFonts w:hint="eastAsia" w:ascii="仿宋_GB2312" w:eastAsia="仿宋_GB2312"/>
          <w:color w:val="auto"/>
          <w:sz w:val="32"/>
          <w:szCs w:val="32"/>
        </w:rPr>
        <w:t>，根据</w:t>
      </w:r>
      <w:r>
        <w:rPr>
          <w:rFonts w:hint="eastAsia" w:ascii="仿宋_GB2312" w:hAnsi="仿宋" w:eastAsia="仿宋_GB2312" w:cs="仿宋"/>
          <w:color w:val="auto"/>
          <w:sz w:val="32"/>
          <w:szCs w:val="32"/>
        </w:rPr>
        <w:t>《中共中央国务院关于全面实施预算绩效管理的意见》</w:t>
      </w:r>
      <w:bookmarkStart w:id="0" w:name="_GoBack"/>
      <w:bookmarkEnd w:id="0"/>
      <w:r>
        <w:rPr>
          <w:rFonts w:hint="eastAsia" w:ascii="仿宋_GB2312" w:hAnsi="仿宋" w:eastAsia="仿宋_GB2312" w:cs="仿宋"/>
          <w:color w:val="auto"/>
          <w:sz w:val="32"/>
          <w:szCs w:val="32"/>
        </w:rPr>
        <w:t>（中发〔2018〕34号）</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中共湖南省委办公厅</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湖南省人民政府办公厅关于全面实施预算绩效管理的实施意见</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湘办发</w:t>
      </w:r>
      <w:r>
        <w:rPr>
          <w:rFonts w:hint="eastAsia" w:ascii="仿宋_GB2312" w:hAnsi="仿宋" w:eastAsia="仿宋_GB2312" w:cs="仿宋"/>
          <w:color w:val="auto"/>
          <w:sz w:val="32"/>
          <w:szCs w:val="32"/>
        </w:rPr>
        <w:t>〔201</w:t>
      </w:r>
      <w:r>
        <w:rPr>
          <w:rFonts w:hint="eastAsia" w:ascii="仿宋_GB2312" w:hAnsi="仿宋" w:eastAsia="仿宋_GB2312" w:cs="仿宋"/>
          <w:color w:val="auto"/>
          <w:sz w:val="32"/>
          <w:szCs w:val="32"/>
          <w:lang w:val="en-US" w:eastAsia="zh-CN"/>
        </w:rPr>
        <w:t>9</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号）</w:t>
      </w:r>
      <w:r>
        <w:rPr>
          <w:rFonts w:hint="eastAsia" w:ascii="仿宋_GB2312" w:hAnsi="仿宋" w:eastAsia="仿宋_GB2312" w:cs="仿宋"/>
          <w:color w:val="auto"/>
          <w:sz w:val="32"/>
          <w:szCs w:val="32"/>
          <w:lang w:eastAsia="zh-CN"/>
        </w:rPr>
        <w:t>等文件精神，结合南县实际，</w:t>
      </w:r>
      <w:r>
        <w:rPr>
          <w:rFonts w:hint="eastAsia" w:ascii="仿宋_GB2312" w:hAnsi="宋体" w:eastAsia="仿宋_GB2312"/>
          <w:color w:val="auto"/>
          <w:sz w:val="32"/>
          <w:shd w:val="clear" w:color="auto" w:fill="FFFFFF"/>
        </w:rPr>
        <w:t>现就做好20</w:t>
      </w:r>
      <w:r>
        <w:rPr>
          <w:rFonts w:hint="eastAsia" w:ascii="仿宋_GB2312" w:hAnsi="宋体" w:eastAsia="仿宋_GB2312"/>
          <w:color w:val="auto"/>
          <w:sz w:val="32"/>
          <w:shd w:val="clear" w:color="auto" w:fill="FFFFFF"/>
          <w:lang w:val="en-US" w:eastAsia="zh-CN"/>
        </w:rPr>
        <w:t>20</w:t>
      </w:r>
      <w:r>
        <w:rPr>
          <w:rFonts w:hint="eastAsia" w:ascii="仿宋_GB2312" w:hAnsi="宋体" w:eastAsia="仿宋_GB2312"/>
          <w:color w:val="auto"/>
          <w:sz w:val="32"/>
          <w:shd w:val="clear" w:color="auto" w:fill="FFFFFF"/>
        </w:rPr>
        <w:t>年度县直部门（单位）预算绩效自评工作有关事项通知如下</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南县德昌实验学校</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年共有职工11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人。职工中在职在</w:t>
      </w:r>
      <w:r>
        <w:rPr>
          <w:rFonts w:hint="eastAsia" w:ascii="仿宋" w:hAnsi="仿宋" w:eastAsia="仿宋" w:cs="仿宋"/>
          <w:color w:val="auto"/>
          <w:sz w:val="32"/>
          <w:szCs w:val="32"/>
          <w:lang w:eastAsia="zh-CN"/>
        </w:rPr>
        <w:t>岗</w:t>
      </w:r>
      <w:r>
        <w:rPr>
          <w:rFonts w:hint="eastAsia" w:ascii="仿宋" w:hAnsi="仿宋" w:eastAsia="仿宋" w:cs="仿宋"/>
          <w:color w:val="auto"/>
          <w:sz w:val="32"/>
          <w:szCs w:val="32"/>
        </w:rPr>
        <w:t>人员</w:t>
      </w:r>
      <w:r>
        <w:rPr>
          <w:rFonts w:hint="eastAsia" w:ascii="仿宋" w:hAnsi="仿宋" w:eastAsia="仿宋" w:cs="仿宋"/>
          <w:color w:val="auto"/>
          <w:sz w:val="32"/>
          <w:szCs w:val="32"/>
          <w:lang w:val="en-US" w:eastAsia="zh-CN"/>
        </w:rPr>
        <w:t>108</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借调</w:t>
      </w:r>
      <w:r>
        <w:rPr>
          <w:rFonts w:hint="eastAsia" w:ascii="仿宋" w:hAnsi="仿宋" w:eastAsia="仿宋" w:cs="仿宋"/>
          <w:color w:val="auto"/>
          <w:sz w:val="32"/>
          <w:szCs w:val="32"/>
          <w:lang w:val="en-US" w:eastAsia="zh-CN"/>
        </w:rPr>
        <w:t>2人，产假2人，病假3人，</w:t>
      </w:r>
      <w:r>
        <w:rPr>
          <w:rFonts w:hint="eastAsia" w:ascii="仿宋" w:hAnsi="仿宋" w:eastAsia="仿宋" w:cs="仿宋"/>
          <w:color w:val="auto"/>
          <w:sz w:val="32"/>
          <w:szCs w:val="32"/>
        </w:rPr>
        <w:t>工勤人员</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人；退休人员</w:t>
      </w:r>
      <w:r>
        <w:rPr>
          <w:rFonts w:hint="eastAsia" w:ascii="仿宋" w:hAnsi="仿宋" w:eastAsia="仿宋" w:cs="仿宋"/>
          <w:color w:val="auto"/>
          <w:sz w:val="32"/>
          <w:szCs w:val="32"/>
          <w:lang w:val="en-US" w:eastAsia="zh-CN"/>
        </w:rPr>
        <w:t>42</w:t>
      </w:r>
      <w:r>
        <w:rPr>
          <w:rFonts w:hint="eastAsia" w:ascii="仿宋" w:hAnsi="仿宋" w:eastAsia="仿宋" w:cs="仿宋"/>
          <w:color w:val="auto"/>
          <w:sz w:val="32"/>
          <w:szCs w:val="32"/>
        </w:rPr>
        <w:t>人；遗属人员</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人，独生子女2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（一）部门整体支出概况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年部门决算收支完成情况。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收入：</w:t>
      </w:r>
      <w:r>
        <w:rPr>
          <w:rFonts w:hint="eastAsia" w:ascii="仿宋" w:hAnsi="仿宋" w:eastAsia="仿宋" w:cs="仿宋"/>
          <w:color w:val="auto"/>
          <w:sz w:val="32"/>
          <w:szCs w:val="32"/>
          <w:lang w:val="en-US" w:eastAsia="zh-CN"/>
        </w:rPr>
        <w:t>1714.13</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同比上年度</w:t>
      </w:r>
      <w:r>
        <w:rPr>
          <w:rFonts w:hint="eastAsia" w:ascii="仿宋" w:hAnsi="仿宋" w:eastAsia="仿宋" w:cs="仿宋"/>
          <w:color w:val="auto"/>
          <w:sz w:val="32"/>
          <w:szCs w:val="32"/>
          <w:lang w:val="en-US" w:eastAsia="zh-CN"/>
        </w:rPr>
        <w:t>1079.10</w:t>
      </w:r>
      <w:r>
        <w:rPr>
          <w:rFonts w:hint="eastAsia" w:ascii="仿宋" w:hAnsi="仿宋" w:eastAsia="仿宋" w:cs="仿宋"/>
          <w:color w:val="auto"/>
          <w:sz w:val="32"/>
          <w:szCs w:val="32"/>
          <w:lang w:val="en-US" w:eastAsia="zh-CN"/>
        </w:rPr>
        <w:t>万元增加</w:t>
      </w:r>
      <w:r>
        <w:rPr>
          <w:rFonts w:hint="eastAsia" w:ascii="仿宋" w:hAnsi="仿宋" w:eastAsia="仿宋" w:cs="仿宋"/>
          <w:color w:val="auto"/>
          <w:sz w:val="32"/>
          <w:szCs w:val="32"/>
          <w:lang w:val="en-US" w:eastAsia="zh-CN"/>
        </w:rPr>
        <w:t>635.04</w:t>
      </w:r>
      <w:r>
        <w:rPr>
          <w:rFonts w:hint="eastAsia" w:ascii="仿宋" w:hAnsi="仿宋" w:eastAsia="仿宋" w:cs="仿宋"/>
          <w:color w:val="auto"/>
          <w:sz w:val="32"/>
          <w:szCs w:val="32"/>
          <w:lang w:val="en-US" w:eastAsia="zh-CN"/>
        </w:rPr>
        <w:t>万元，增加58.85％。</w:t>
      </w:r>
      <w:r>
        <w:rPr>
          <w:rFonts w:hint="eastAsia" w:ascii="仿宋" w:hAnsi="仿宋" w:eastAsia="仿宋" w:cs="仿宋"/>
          <w:color w:val="auto"/>
          <w:sz w:val="32"/>
          <w:szCs w:val="32"/>
        </w:rPr>
        <w:t>其中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财政拨款收入</w:t>
      </w:r>
      <w:r>
        <w:rPr>
          <w:rFonts w:hint="eastAsia" w:ascii="仿宋" w:hAnsi="仿宋" w:eastAsia="仿宋" w:cs="仿宋"/>
          <w:color w:val="auto"/>
          <w:sz w:val="32"/>
          <w:szCs w:val="32"/>
          <w:lang w:val="en-US" w:eastAsia="zh-CN"/>
        </w:rPr>
        <w:t>1460.08</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同比上年度</w:t>
      </w:r>
      <w:r>
        <w:rPr>
          <w:rFonts w:hint="eastAsia" w:ascii="仿宋" w:hAnsi="仿宋" w:eastAsia="仿宋" w:cs="仿宋"/>
          <w:color w:val="auto"/>
          <w:sz w:val="32"/>
          <w:szCs w:val="32"/>
          <w:lang w:val="en-US" w:eastAsia="zh-CN"/>
        </w:rPr>
        <w:t>1033.22</w:t>
      </w:r>
      <w:r>
        <w:rPr>
          <w:rFonts w:hint="eastAsia" w:ascii="仿宋" w:hAnsi="仿宋" w:eastAsia="仿宋" w:cs="仿宋"/>
          <w:color w:val="auto"/>
          <w:sz w:val="32"/>
          <w:szCs w:val="32"/>
          <w:lang w:val="en-US" w:eastAsia="zh-CN"/>
        </w:rPr>
        <w:t>万元增加426.86万元，增加41.31%。其他收入</w:t>
      </w:r>
      <w:r>
        <w:rPr>
          <w:rFonts w:hint="eastAsia" w:ascii="仿宋" w:hAnsi="仿宋" w:eastAsia="仿宋" w:cs="仿宋"/>
          <w:color w:val="auto"/>
          <w:sz w:val="32"/>
          <w:szCs w:val="32"/>
          <w:lang w:val="en-US" w:eastAsia="zh-CN"/>
        </w:rPr>
        <w:t>254.06</w:t>
      </w:r>
      <w:r>
        <w:rPr>
          <w:rFonts w:hint="eastAsia" w:ascii="仿宋" w:hAnsi="仿宋" w:eastAsia="仿宋" w:cs="仿宋"/>
          <w:color w:val="auto"/>
          <w:sz w:val="32"/>
          <w:szCs w:val="32"/>
          <w:lang w:val="en-US" w:eastAsia="zh-CN"/>
        </w:rPr>
        <w:t>万元，同比上年度</w:t>
      </w:r>
      <w:r>
        <w:rPr>
          <w:rFonts w:hint="eastAsia" w:ascii="仿宋" w:hAnsi="仿宋" w:eastAsia="仿宋" w:cs="仿宋"/>
          <w:color w:val="auto"/>
          <w:sz w:val="32"/>
          <w:szCs w:val="32"/>
          <w:lang w:val="en-US" w:eastAsia="zh-CN"/>
        </w:rPr>
        <w:t>45.88</w:t>
      </w:r>
      <w:r>
        <w:rPr>
          <w:rFonts w:hint="eastAsia" w:ascii="仿宋" w:hAnsi="仿宋" w:eastAsia="仿宋" w:cs="仿宋"/>
          <w:color w:val="auto"/>
          <w:sz w:val="32"/>
          <w:szCs w:val="32"/>
          <w:lang w:val="en-US" w:eastAsia="zh-CN"/>
        </w:rPr>
        <w:t>万元增加</w:t>
      </w:r>
      <w:r>
        <w:rPr>
          <w:rFonts w:hint="eastAsia" w:ascii="仿宋" w:hAnsi="仿宋" w:eastAsia="仿宋" w:cs="仿宋"/>
          <w:color w:val="auto"/>
          <w:sz w:val="32"/>
          <w:szCs w:val="32"/>
          <w:lang w:val="en-US" w:eastAsia="zh-CN"/>
        </w:rPr>
        <w:t>208.18</w:t>
      </w:r>
      <w:r>
        <w:rPr>
          <w:rFonts w:hint="eastAsia" w:ascii="仿宋" w:hAnsi="仿宋" w:eastAsia="仿宋" w:cs="仿宋"/>
          <w:color w:val="auto"/>
          <w:sz w:val="32"/>
          <w:szCs w:val="32"/>
          <w:lang w:val="en-US" w:eastAsia="zh-CN"/>
        </w:rPr>
        <w:t>万元，增加453.76％</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主要是</w:t>
      </w:r>
      <w:r>
        <w:rPr>
          <w:rFonts w:hint="eastAsia" w:ascii="仿宋" w:hAnsi="仿宋" w:eastAsia="仿宋" w:cs="仿宋"/>
          <w:color w:val="auto"/>
          <w:sz w:val="32"/>
          <w:szCs w:val="32"/>
          <w:lang w:val="en-US" w:eastAsia="zh-CN"/>
        </w:rPr>
        <w:t>上下两学期的课后服务费纳入其他收入。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支出：</w:t>
      </w:r>
      <w:r>
        <w:rPr>
          <w:rFonts w:hint="eastAsia" w:ascii="仿宋" w:hAnsi="仿宋" w:eastAsia="仿宋" w:cs="仿宋"/>
          <w:color w:val="auto"/>
          <w:sz w:val="32"/>
          <w:szCs w:val="32"/>
          <w:lang w:val="en-US" w:eastAsia="zh-CN"/>
        </w:rPr>
        <w:t>1686.57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同比上年</w:t>
      </w:r>
      <w:r>
        <w:rPr>
          <w:rFonts w:hint="eastAsia" w:ascii="仿宋" w:hAnsi="仿宋" w:eastAsia="仿宋" w:cs="仿宋"/>
          <w:color w:val="auto"/>
          <w:sz w:val="32"/>
          <w:szCs w:val="32"/>
          <w:lang w:val="en-US" w:eastAsia="zh-CN"/>
        </w:rPr>
        <w:t>1061.75</w:t>
      </w:r>
      <w:r>
        <w:rPr>
          <w:rFonts w:hint="eastAsia" w:ascii="仿宋" w:hAnsi="仿宋" w:eastAsia="仿宋" w:cs="仿宋"/>
          <w:color w:val="auto"/>
          <w:sz w:val="32"/>
          <w:szCs w:val="32"/>
          <w:lang w:val="en-US" w:eastAsia="zh-CN"/>
        </w:rPr>
        <w:t>万元增加624.82万元，增加58.85％。增加部分主要是学校</w:t>
      </w:r>
      <w:r>
        <w:rPr>
          <w:rFonts w:hint="eastAsia" w:ascii="仿宋" w:hAnsi="仿宋" w:eastAsia="仿宋" w:cs="仿宋"/>
          <w:color w:val="auto"/>
          <w:sz w:val="32"/>
          <w:szCs w:val="32"/>
          <w:lang w:val="en-US" w:eastAsia="zh-CN"/>
        </w:rPr>
        <w:t>学生增加、课后服务费增加。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（二）部门整体支出绩效目标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hAnsi="仿宋_GB2312" w:eastAsia="仿宋_GB2312" w:cs="仿宋_GB2312"/>
          <w:color w:val="auto"/>
          <w:sz w:val="32"/>
          <w:szCs w:val="32"/>
        </w:rPr>
        <w:t>在全县年度绩效考评中，我们</w:t>
      </w:r>
      <w:r>
        <w:rPr>
          <w:rFonts w:hint="eastAsia" w:ascii="仿宋_GB2312" w:hAnsi="仿宋_GB2312" w:eastAsia="仿宋_GB2312" w:cs="仿宋_GB2312"/>
          <w:color w:val="auto"/>
          <w:sz w:val="32"/>
          <w:szCs w:val="32"/>
          <w:lang w:val="en-US" w:eastAsia="zh-CN"/>
        </w:rPr>
        <w:t>再</w:t>
      </w:r>
      <w:r>
        <w:rPr>
          <w:rFonts w:hint="eastAsia" w:ascii="仿宋_GB2312" w:hAnsi="仿宋_GB2312" w:eastAsia="仿宋_GB2312" w:cs="仿宋_GB2312"/>
          <w:color w:val="auto"/>
          <w:sz w:val="32"/>
          <w:szCs w:val="32"/>
        </w:rPr>
        <w:t>次荣获优秀等次；真抓实干工作在全县中，我们位居前列，得到</w:t>
      </w:r>
      <w:r>
        <w:rPr>
          <w:rFonts w:hint="eastAsia" w:ascii="仿宋_GB2312" w:hAnsi="仿宋_GB2312" w:eastAsia="仿宋_GB2312" w:cs="仿宋_GB2312"/>
          <w:color w:val="auto"/>
          <w:sz w:val="32"/>
          <w:szCs w:val="32"/>
          <w:lang w:val="en-US" w:eastAsia="zh-CN"/>
        </w:rPr>
        <w:t>县局</w:t>
      </w:r>
      <w:r>
        <w:rPr>
          <w:rFonts w:hint="eastAsia" w:ascii="仿宋_GB2312" w:hAnsi="仿宋_GB2312" w:eastAsia="仿宋_GB2312" w:cs="仿宋_GB2312"/>
          <w:color w:val="auto"/>
          <w:sz w:val="32"/>
          <w:szCs w:val="32"/>
        </w:rPr>
        <w:t>充分肯定。这一年，我</w:t>
      </w:r>
      <w:r>
        <w:rPr>
          <w:rFonts w:hint="eastAsia" w:ascii="仿宋_GB2312" w:hAnsi="仿宋_GB2312" w:eastAsia="仿宋_GB2312" w:cs="仿宋_GB2312"/>
          <w:color w:val="auto"/>
          <w:sz w:val="32"/>
          <w:szCs w:val="32"/>
          <w:lang w:val="en-US" w:eastAsia="zh-CN"/>
        </w:rPr>
        <w:t>校</w:t>
      </w:r>
      <w:r>
        <w:rPr>
          <w:rFonts w:hint="eastAsia" w:ascii="仿宋_GB2312" w:hAnsi="仿宋_GB2312" w:eastAsia="仿宋_GB2312" w:cs="仿宋_GB2312"/>
          <w:color w:val="auto"/>
          <w:sz w:val="32"/>
          <w:szCs w:val="32"/>
        </w:rPr>
        <w:t>获荣誉</w:t>
      </w:r>
      <w:r>
        <w:rPr>
          <w:rFonts w:hint="eastAsia" w:ascii="仿宋_GB2312" w:hAnsi="仿宋_GB2312" w:eastAsia="仿宋_GB2312" w:cs="仿宋_GB2312"/>
          <w:color w:val="auto"/>
          <w:sz w:val="32"/>
          <w:szCs w:val="32"/>
          <w:lang w:val="en-US" w:eastAsia="zh-CN"/>
        </w:rPr>
        <w:t>先进单位称号</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（三）部门整体支出情况分析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预算资金合计</w:t>
      </w:r>
      <w:r>
        <w:rPr>
          <w:rFonts w:hint="eastAsia" w:ascii="仿宋" w:hAnsi="仿宋" w:eastAsia="仿宋" w:cs="仿宋"/>
          <w:color w:val="auto"/>
          <w:sz w:val="32"/>
          <w:szCs w:val="32"/>
          <w:lang w:val="en-US" w:eastAsia="zh-CN"/>
        </w:rPr>
        <w:t>1460.08</w:t>
      </w:r>
      <w:r>
        <w:rPr>
          <w:rFonts w:hint="eastAsia" w:ascii="仿宋" w:hAnsi="仿宋" w:eastAsia="仿宋" w:cs="仿宋"/>
          <w:color w:val="auto"/>
          <w:sz w:val="32"/>
          <w:szCs w:val="32"/>
        </w:rPr>
        <w:t>万元，20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月全部</w:t>
      </w:r>
      <w:r>
        <w:rPr>
          <w:rFonts w:hint="eastAsia" w:ascii="仿宋" w:hAnsi="仿宋" w:eastAsia="仿宋" w:cs="仿宋"/>
          <w:color w:val="auto"/>
          <w:sz w:val="32"/>
          <w:szCs w:val="32"/>
          <w:lang w:eastAsia="zh-CN"/>
        </w:rPr>
        <w:t>拨付</w:t>
      </w:r>
      <w:r>
        <w:rPr>
          <w:rFonts w:hint="eastAsia" w:ascii="仿宋" w:hAnsi="仿宋" w:eastAsia="仿宋" w:cs="仿宋"/>
          <w:color w:val="auto"/>
          <w:sz w:val="32"/>
          <w:szCs w:val="32"/>
        </w:rPr>
        <w:t>到位，我单位根据年初预算编制及时制定实施计划组织实施。</w:t>
      </w:r>
      <w:r>
        <w:rPr>
          <w:rFonts w:hint="eastAsia" w:ascii="仿宋" w:hAnsi="仿宋" w:eastAsia="仿宋" w:cs="仿宋"/>
          <w:color w:val="auto"/>
          <w:sz w:val="32"/>
          <w:szCs w:val="32"/>
          <w:lang w:val="en-US" w:eastAsia="zh-CN"/>
        </w:rPr>
        <w:t>德昌学校</w:t>
      </w:r>
      <w:r>
        <w:rPr>
          <w:rFonts w:hint="eastAsia" w:ascii="仿宋" w:hAnsi="仿宋" w:eastAsia="仿宋" w:cs="仿宋"/>
          <w:color w:val="auto"/>
          <w:sz w:val="32"/>
          <w:szCs w:val="32"/>
        </w:rPr>
        <w:t>严格按照年初预算进行部门整体支出。在支出过程中，严格遵守各项规章制度，</w:t>
      </w:r>
      <w:r>
        <w:rPr>
          <w:rFonts w:hint="eastAsia" w:ascii="仿宋" w:hAnsi="仿宋" w:eastAsia="仿宋" w:cs="仿宋"/>
          <w:color w:val="auto"/>
          <w:sz w:val="32"/>
          <w:szCs w:val="32"/>
          <w:lang w:val="en-US" w:eastAsia="zh-CN"/>
        </w:rPr>
        <w:t>严格控制</w:t>
      </w:r>
      <w:r>
        <w:rPr>
          <w:rFonts w:hint="eastAsia" w:ascii="仿宋" w:hAnsi="仿宋" w:eastAsia="仿宋" w:cs="仿宋"/>
          <w:color w:val="auto"/>
          <w:sz w:val="32"/>
          <w:szCs w:val="32"/>
          <w:lang w:eastAsia="zh-CN"/>
        </w:rPr>
        <w:t>公务接待和公务用车费用</w:t>
      </w:r>
      <w:r>
        <w:rPr>
          <w:rFonts w:hint="eastAsia" w:ascii="仿宋" w:hAnsi="仿宋" w:eastAsia="仿宋" w:cs="仿宋"/>
          <w:color w:val="auto"/>
          <w:sz w:val="32"/>
          <w:szCs w:val="32"/>
          <w:lang w:val="en-US" w:eastAsia="zh-CN"/>
        </w:rPr>
        <w:t>的支出</w:t>
      </w:r>
      <w:r>
        <w:rPr>
          <w:rFonts w:hint="eastAsia" w:ascii="仿宋" w:hAnsi="仿宋" w:eastAsia="仿宋" w:cs="仿宋"/>
          <w:color w:val="auto"/>
          <w:sz w:val="32"/>
          <w:szCs w:val="32"/>
        </w:rPr>
        <w:t>。尤其是在专项经费支出上，我们</w:t>
      </w:r>
      <w:r>
        <w:rPr>
          <w:rFonts w:hint="eastAsia" w:ascii="仿宋" w:hAnsi="仿宋" w:eastAsia="仿宋" w:cs="仿宋"/>
          <w:color w:val="auto"/>
          <w:sz w:val="32"/>
          <w:szCs w:val="32"/>
          <w:lang w:val="en-US" w:eastAsia="zh-CN"/>
        </w:rPr>
        <w:t>力争做到</w:t>
      </w:r>
      <w:r>
        <w:rPr>
          <w:rFonts w:hint="eastAsia" w:ascii="仿宋" w:hAnsi="仿宋" w:eastAsia="仿宋" w:cs="仿宋"/>
          <w:color w:val="auto"/>
          <w:sz w:val="32"/>
          <w:szCs w:val="32"/>
        </w:rPr>
        <w:t>专款专用，按项目实施计划的进度情况进行资金分配，无挪用专项经费的现象。实行了先有预算、后有执行、“用钱必问效、无效必问责”的新常态。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此次绩效评价的目的是：严格落实《预算法》及省、市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绩效管理工作的有关规定，进一步规范财政资金的管理，强化财政支出绩效理念，提升部门责任意识，提高资金使用效益，促进</w:t>
      </w:r>
      <w:r>
        <w:rPr>
          <w:rFonts w:hint="eastAsia" w:ascii="仿宋" w:hAnsi="仿宋" w:eastAsia="仿宋" w:cs="仿宋"/>
          <w:color w:val="auto"/>
          <w:sz w:val="32"/>
          <w:szCs w:val="32"/>
          <w:lang w:val="en-US" w:eastAsia="zh-CN"/>
        </w:rPr>
        <w:t>教育</w:t>
      </w:r>
      <w:r>
        <w:rPr>
          <w:rFonts w:hint="eastAsia" w:ascii="仿宋" w:hAnsi="仿宋" w:eastAsia="仿宋" w:cs="仿宋"/>
          <w:color w:val="auto"/>
          <w:sz w:val="32"/>
          <w:szCs w:val="32"/>
        </w:rPr>
        <w:t>事业</w:t>
      </w:r>
      <w:r>
        <w:rPr>
          <w:rFonts w:hint="eastAsia" w:ascii="仿宋" w:hAnsi="仿宋" w:eastAsia="仿宋" w:cs="仿宋"/>
          <w:color w:val="auto"/>
          <w:sz w:val="32"/>
          <w:szCs w:val="32"/>
          <w:lang w:val="en-US" w:eastAsia="zh-CN"/>
        </w:rPr>
        <w:t>又好又快</w:t>
      </w:r>
      <w:r>
        <w:rPr>
          <w:rFonts w:hint="eastAsia" w:ascii="仿宋" w:hAnsi="仿宋" w:eastAsia="仿宋" w:cs="仿宋"/>
          <w:color w:val="auto"/>
          <w:sz w:val="32"/>
          <w:szCs w:val="32"/>
        </w:rPr>
        <w:t>的发展。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（二）绩效评价的工作过程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根据绩效评价的要求，我们成立了自评工作领导小组，对照自评方案进行研究和布署，党组成员及</w:t>
      </w:r>
      <w:r>
        <w:rPr>
          <w:rFonts w:hint="eastAsia" w:ascii="仿宋" w:hAnsi="仿宋" w:eastAsia="仿宋" w:cs="仿宋"/>
          <w:color w:val="auto"/>
          <w:sz w:val="32"/>
          <w:szCs w:val="32"/>
          <w:lang w:eastAsia="zh-CN"/>
        </w:rPr>
        <w:t>财务人员</w:t>
      </w:r>
      <w:r>
        <w:rPr>
          <w:rFonts w:hint="eastAsia" w:ascii="仿宋" w:hAnsi="仿宋" w:eastAsia="仿宋" w:cs="仿宋"/>
          <w:color w:val="auto"/>
          <w:sz w:val="32"/>
          <w:szCs w:val="32"/>
        </w:rPr>
        <w:t>全程参与，按照自评方案的要求，对照各实施项目的内容逐条逐项自评。在自评过程发现问题，查找原因，及时纠正偏差，为下一步工作夯实基础。</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主要绩效及评价结论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（一）经济性效益分析：</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集团化办学争资</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万元，用于</w:t>
      </w:r>
      <w:r>
        <w:rPr>
          <w:rFonts w:hint="eastAsia" w:ascii="仿宋_GB2312" w:hAnsi="仿宋" w:eastAsia="仿宋_GB2312" w:cs="仿宋"/>
          <w:color w:val="auto"/>
          <w:sz w:val="32"/>
          <w:szCs w:val="32"/>
        </w:rPr>
        <w:t>校园维修</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校园红色文化的建设。</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（二）社会性效益分析</w:t>
      </w:r>
    </w:p>
    <w:p>
      <w:pPr>
        <w:spacing w:line="600" w:lineRule="exact"/>
        <w:ind w:firstLine="640" w:firstLineChars="200"/>
        <w:rPr>
          <w:rFonts w:ascii="仿宋_GB2312" w:hAnsi="仿宋_GB2312" w:eastAsia="仿宋_GB2312" w:cs="仿宋_GB2312"/>
          <w:snapToGrid w:val="0"/>
          <w:color w:val="auto"/>
          <w:kern w:val="0"/>
          <w:sz w:val="32"/>
          <w:szCs w:val="32"/>
          <w:highlight w:val="none"/>
          <w:lang w:val="zh-CN"/>
        </w:rPr>
      </w:pPr>
      <w:r>
        <w:rPr>
          <w:rFonts w:hint="eastAsia" w:ascii="仿宋" w:hAnsi="仿宋" w:eastAsia="仿宋" w:cs="仿宋"/>
          <w:color w:val="auto"/>
          <w:sz w:val="32"/>
          <w:szCs w:val="32"/>
          <w:highlight w:val="none"/>
        </w:rPr>
        <w:t>1.</w:t>
      </w:r>
      <w:r>
        <w:rPr>
          <w:rFonts w:hint="eastAsia" w:ascii="仿宋_GB2312" w:hAnsi="仿宋_GB2312" w:eastAsia="仿宋_GB2312" w:cs="仿宋_GB2312"/>
          <w:b/>
          <w:bCs/>
          <w:color w:val="auto"/>
          <w:sz w:val="32"/>
          <w:szCs w:val="32"/>
          <w:highlight w:val="none"/>
        </w:rPr>
        <w:t>队伍示范，</w:t>
      </w:r>
      <w:r>
        <w:rPr>
          <w:rFonts w:hint="eastAsia" w:ascii="仿宋_GB2312" w:hAnsi="仿宋_GB2312" w:eastAsia="仿宋_GB2312" w:cs="仿宋_GB2312"/>
          <w:color w:val="auto"/>
          <w:sz w:val="32"/>
          <w:szCs w:val="32"/>
          <w:highlight w:val="none"/>
        </w:rPr>
        <w:t>组建红色教育基地（段德昌革命烈士红色文化宣传）网络联校送课</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30</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节次，</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kern w:val="0"/>
          <w:sz w:val="32"/>
          <w:szCs w:val="32"/>
          <w:highlight w:val="none"/>
          <w:lang w:bidi="ar"/>
        </w:rPr>
        <w:t>个音美工作</w:t>
      </w:r>
      <w:r>
        <w:rPr>
          <w:rFonts w:hint="eastAsia" w:ascii="仿宋_GB2312" w:hAnsi="仿宋_GB2312" w:eastAsia="仿宋_GB2312" w:cs="仿宋_GB2312"/>
          <w:color w:val="auto"/>
          <w:kern w:val="0"/>
          <w:sz w:val="32"/>
          <w:szCs w:val="32"/>
          <w:highlight w:val="none"/>
          <w:lang w:eastAsia="zh-CN" w:bidi="ar"/>
        </w:rPr>
        <w:t>坊</w:t>
      </w:r>
      <w:r>
        <w:rPr>
          <w:rFonts w:hint="eastAsia" w:ascii="仿宋_GB2312" w:hAnsi="仿宋_GB2312" w:eastAsia="仿宋_GB2312" w:cs="仿宋_GB2312"/>
          <w:color w:val="auto"/>
          <w:kern w:val="0"/>
          <w:sz w:val="32"/>
          <w:szCs w:val="32"/>
          <w:highlight w:val="none"/>
          <w:lang w:bidi="ar"/>
        </w:rPr>
        <w:t>、</w:t>
      </w:r>
      <w:r>
        <w:rPr>
          <w:rFonts w:hint="eastAsia" w:ascii="仿宋_GB2312" w:hAnsi="仿宋_GB2312" w:eastAsia="仿宋_GB2312" w:cs="仿宋_GB2312"/>
          <w:color w:val="auto"/>
          <w:kern w:val="0"/>
          <w:sz w:val="32"/>
          <w:szCs w:val="32"/>
          <w:highlight w:val="none"/>
          <w:lang w:val="en-US" w:eastAsia="zh-CN" w:bidi="ar"/>
        </w:rPr>
        <w:t>10</w:t>
      </w:r>
      <w:r>
        <w:rPr>
          <w:rFonts w:hint="eastAsia" w:ascii="仿宋_GB2312" w:hAnsi="仿宋_GB2312" w:eastAsia="仿宋_GB2312" w:cs="仿宋_GB2312"/>
          <w:color w:val="auto"/>
          <w:kern w:val="0"/>
          <w:sz w:val="32"/>
          <w:szCs w:val="32"/>
          <w:highlight w:val="none"/>
          <w:lang w:bidi="ar"/>
        </w:rPr>
        <w:t>名县级以上名师（骨干、特级）的示范引导广泛辐射</w:t>
      </w:r>
      <w:r>
        <w:rPr>
          <w:rFonts w:hint="eastAsia" w:ascii="仿宋_GB2312" w:hAnsi="仿宋_GB2312" w:eastAsia="仿宋_GB2312" w:cs="仿宋_GB2312"/>
          <w:color w:val="auto"/>
          <w:sz w:val="32"/>
          <w:szCs w:val="32"/>
          <w:highlight w:val="none"/>
        </w:rPr>
        <w:t>；党员教师进社区服务</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余次</w:t>
      </w:r>
      <w:r>
        <w:rPr>
          <w:rFonts w:hint="eastAsia" w:ascii="仿宋_GB2312" w:hAnsi="仿宋_GB2312" w:eastAsia="仿宋_GB2312" w:cs="仿宋_GB2312"/>
          <w:snapToGrid w:val="0"/>
          <w:color w:val="auto"/>
          <w:kern w:val="0"/>
          <w:sz w:val="32"/>
          <w:szCs w:val="32"/>
          <w:highlight w:val="none"/>
          <w:lang w:val="zh-CN"/>
        </w:rPr>
        <w:t>。</w:t>
      </w:r>
    </w:p>
    <w:p>
      <w:pPr>
        <w:spacing w:line="600" w:lineRule="exact"/>
        <w:ind w:firstLine="643"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rPr>
        <w:t>2.典型带路。</w:t>
      </w:r>
      <w:r>
        <w:rPr>
          <w:rFonts w:hint="eastAsia" w:ascii="仿宋_GB2312" w:hAnsi="仿宋_GB2312" w:eastAsia="仿宋_GB2312" w:cs="仿宋_GB2312"/>
          <w:bCs/>
          <w:color w:val="auto"/>
          <w:sz w:val="32"/>
          <w:szCs w:val="32"/>
          <w:highlight w:val="none"/>
        </w:rPr>
        <w:t>信息化创新应用持续推进，</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个省级课题完成评估、结题，打造331堂优质网课，</w:t>
      </w:r>
      <w:r>
        <w:rPr>
          <w:rFonts w:hint="eastAsia" w:ascii="仿宋_GB2312" w:hAnsi="仿宋_GB2312" w:eastAsia="仿宋_GB2312" w:cs="仿宋_GB2312"/>
          <w:color w:val="auto"/>
          <w:sz w:val="32"/>
          <w:szCs w:val="32"/>
          <w:highlight w:val="none"/>
        </w:rPr>
        <w:t>开展“晒课</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color w:val="auto"/>
          <w:sz w:val="32"/>
          <w:szCs w:val="32"/>
          <w:highlight w:val="none"/>
        </w:rPr>
        <w:t>信息化与课堂教学深度融合”等活动，</w:t>
      </w:r>
      <w:r>
        <w:rPr>
          <w:rFonts w:hint="eastAsia" w:ascii="仿宋_GB2312" w:hAnsi="仿宋_GB2312" w:eastAsia="仿宋_GB2312" w:cs="仿宋_GB2312"/>
          <w:bCs/>
          <w:color w:val="auto"/>
          <w:kern w:val="0"/>
          <w:sz w:val="32"/>
          <w:szCs w:val="32"/>
          <w:highlight w:val="none"/>
        </w:rPr>
        <w:t>收到作品</w:t>
      </w:r>
      <w:r>
        <w:rPr>
          <w:rFonts w:hint="eastAsia" w:ascii="仿宋_GB2312" w:hAnsi="仿宋_GB2312" w:eastAsia="仿宋_GB2312" w:cs="仿宋_GB2312"/>
          <w:bCs/>
          <w:color w:val="auto"/>
          <w:kern w:val="0"/>
          <w:sz w:val="32"/>
          <w:szCs w:val="32"/>
          <w:highlight w:val="none"/>
          <w:lang w:val="en-US" w:eastAsia="zh-CN"/>
        </w:rPr>
        <w:t>98</w:t>
      </w:r>
      <w:r>
        <w:rPr>
          <w:rFonts w:hint="eastAsia" w:ascii="仿宋_GB2312" w:hAnsi="仿宋_GB2312" w:eastAsia="仿宋_GB2312" w:cs="仿宋_GB2312"/>
          <w:bCs/>
          <w:color w:val="auto"/>
          <w:kern w:val="0"/>
          <w:sz w:val="32"/>
          <w:szCs w:val="32"/>
          <w:highlight w:val="none"/>
        </w:rPr>
        <w:t>件，上传</w:t>
      </w:r>
      <w:r>
        <w:rPr>
          <w:rFonts w:hint="eastAsia" w:ascii="仿宋_GB2312" w:hAnsi="仿宋_GB2312" w:eastAsia="仿宋_GB2312" w:cs="仿宋_GB2312"/>
          <w:bCs/>
          <w:color w:val="auto"/>
          <w:kern w:val="0"/>
          <w:sz w:val="32"/>
          <w:szCs w:val="32"/>
          <w:highlight w:val="none"/>
          <w:lang w:val="en-US" w:eastAsia="zh-CN"/>
        </w:rPr>
        <w:t>60</w:t>
      </w:r>
      <w:r>
        <w:rPr>
          <w:rFonts w:hint="eastAsia" w:ascii="仿宋_GB2312" w:hAnsi="仿宋_GB2312" w:eastAsia="仿宋_GB2312" w:cs="仿宋_GB2312"/>
          <w:bCs/>
          <w:color w:val="auto"/>
          <w:kern w:val="0"/>
          <w:sz w:val="32"/>
          <w:szCs w:val="32"/>
          <w:highlight w:val="none"/>
        </w:rPr>
        <w:t>堂课，</w:t>
      </w:r>
    </w:p>
    <w:p>
      <w:pPr>
        <w:spacing w:line="538"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b/>
          <w:bCs/>
          <w:color w:val="auto"/>
          <w:sz w:val="32"/>
          <w:szCs w:val="32"/>
          <w:highlight w:val="none"/>
        </w:rPr>
        <w:t>特色发展，</w:t>
      </w:r>
      <w:r>
        <w:rPr>
          <w:rFonts w:hint="eastAsia" w:ascii="仿宋_GB2312" w:hAnsi="仿宋_GB2312" w:eastAsia="仿宋_GB2312" w:cs="仿宋_GB2312"/>
          <w:color w:val="auto"/>
          <w:sz w:val="32"/>
          <w:szCs w:val="32"/>
          <w:highlight w:val="none"/>
        </w:rPr>
        <w:t>校园文化、德育、阅读、体艺、劳动和科创等活动多样开展，带团建优队建，阅读节竞赛活动覆盖近千人，</w:t>
      </w:r>
      <w:r>
        <w:rPr>
          <w:rFonts w:hint="eastAsia" w:ascii="仿宋_GB2312" w:hAnsi="仿宋_GB2312" w:eastAsia="仿宋_GB2312" w:cs="仿宋_GB2312"/>
          <w:color w:val="auto"/>
          <w:kern w:val="1"/>
          <w:sz w:val="32"/>
          <w:szCs w:val="32"/>
          <w:highlight w:val="none"/>
        </w:rPr>
        <w:t>省建制班合唱获一等奖.</w:t>
      </w:r>
      <w:r>
        <w:rPr>
          <w:rFonts w:hint="eastAsia" w:ascii="仿宋_GB2312" w:hAnsi="仿宋_GB2312" w:eastAsia="仿宋_GB2312" w:cs="仿宋_GB2312"/>
          <w:color w:val="auto"/>
          <w:sz w:val="32"/>
          <w:szCs w:val="32"/>
          <w:highlight w:val="none"/>
        </w:rPr>
        <w:t>。</w:t>
      </w:r>
    </w:p>
    <w:p>
      <w:pPr>
        <w:pStyle w:val="2"/>
        <w:ind w:firstLine="600" w:firstLineChars="200"/>
        <w:rPr>
          <w:rFonts w:eastAsia="仿宋_GB2312"/>
          <w:color w:val="auto"/>
          <w:sz w:val="30"/>
          <w:szCs w:val="30"/>
          <w:highlight w:val="none"/>
        </w:rPr>
      </w:pPr>
      <w:r>
        <w:rPr>
          <w:rFonts w:hint="eastAsia" w:ascii="仿宋_GB2312" w:hAnsi="仿宋_GB2312" w:eastAsia="仿宋_GB2312" w:cs="仿宋_GB2312"/>
          <w:color w:val="auto"/>
          <w:sz w:val="30"/>
          <w:szCs w:val="30"/>
          <w:highlight w:val="none"/>
        </w:rPr>
        <w:t>5.</w:t>
      </w:r>
      <w:r>
        <w:rPr>
          <w:rFonts w:hint="eastAsia" w:ascii="仿宋_GB2312" w:hAnsi="仿宋_GB2312" w:eastAsia="仿宋_GB2312" w:cs="仿宋_GB2312"/>
          <w:b/>
          <w:color w:val="auto"/>
          <w:sz w:val="30"/>
          <w:szCs w:val="30"/>
          <w:highlight w:val="none"/>
        </w:rPr>
        <w:t>疫情防控零失误。</w:t>
      </w:r>
      <w:r>
        <w:rPr>
          <w:rFonts w:hint="eastAsia" w:ascii="仿宋_GB2312" w:hAnsi="仿宋_GB2312" w:eastAsia="仿宋_GB2312" w:cs="仿宋_GB2312"/>
          <w:color w:val="auto"/>
          <w:sz w:val="30"/>
          <w:szCs w:val="30"/>
          <w:highlight w:val="none"/>
        </w:rPr>
        <w:t>出台文件、编制预案，教育系统突出“线管、区防、纵联”，抓实“日登记、日巡查、日报告”，</w:t>
      </w:r>
      <w:r>
        <w:rPr>
          <w:rFonts w:hint="eastAsia" w:ascii="仿宋_GB2312" w:hAnsi="仿宋_GB2312" w:eastAsia="仿宋_GB2312" w:cs="仿宋_GB2312"/>
          <w:color w:val="auto"/>
          <w:kern w:val="0"/>
          <w:sz w:val="30"/>
          <w:szCs w:val="30"/>
          <w:highlight w:val="none"/>
        </w:rPr>
        <w:t>按照“两案九制”</w:t>
      </w:r>
      <w:r>
        <w:rPr>
          <w:rFonts w:hint="eastAsia" w:ascii="仿宋_GB2312" w:hAnsi="仿宋_GB2312" w:eastAsia="仿宋_GB2312" w:cs="仿宋_GB2312"/>
          <w:color w:val="auto"/>
          <w:sz w:val="30"/>
          <w:szCs w:val="30"/>
          <w:highlight w:val="none"/>
        </w:rPr>
        <w:t>做实疫情防控各项工作，</w:t>
      </w:r>
      <w:r>
        <w:rPr>
          <w:rFonts w:ascii="仿宋_GB2312" w:hAnsi="仿宋_GB2312" w:eastAsia="仿宋_GB2312" w:cs="仿宋_GB2312"/>
          <w:color w:val="auto"/>
          <w:sz w:val="30"/>
          <w:szCs w:val="30"/>
          <w:highlight w:val="none"/>
        </w:rPr>
        <w:t>110</w:t>
      </w:r>
      <w:r>
        <w:rPr>
          <w:rFonts w:hint="eastAsia" w:ascii="仿宋_GB2312" w:hAnsi="仿宋_GB2312" w:eastAsia="仿宋_GB2312" w:cs="仿宋_GB2312"/>
          <w:color w:val="auto"/>
          <w:sz w:val="30"/>
          <w:szCs w:val="30"/>
          <w:highlight w:val="none"/>
        </w:rPr>
        <w:t>名教师核酸筛查，实现我校师生新冠肺炎零感染、防控零失误。</w:t>
      </w:r>
    </w:p>
    <w:p>
      <w:pPr>
        <w:rPr>
          <w:color w:val="auto"/>
          <w:sz w:val="30"/>
          <w:szCs w:val="30"/>
        </w:rPr>
      </w:pPr>
      <w:r>
        <w:rPr>
          <w:rFonts w:hint="eastAsia" w:ascii="仿宋_GB2312" w:hAnsi="仿宋_GB2312" w:eastAsia="仿宋_GB2312" w:cs="仿宋_GB2312"/>
          <w:color w:val="auto"/>
          <w:sz w:val="30"/>
          <w:szCs w:val="30"/>
          <w:highlight w:val="none"/>
        </w:rPr>
        <w:t>6.</w:t>
      </w:r>
      <w:r>
        <w:rPr>
          <w:rFonts w:hint="eastAsia" w:ascii="仿宋_GB2312" w:hAnsi="仿宋_GB2312" w:eastAsia="仿宋_GB2312" w:cs="仿宋_GB2312"/>
          <w:b/>
          <w:bCs/>
          <w:color w:val="auto"/>
          <w:sz w:val="30"/>
          <w:szCs w:val="30"/>
          <w:highlight w:val="none"/>
        </w:rPr>
        <w:t>教育质量稳进。</w:t>
      </w:r>
      <w:r>
        <w:rPr>
          <w:rFonts w:hint="eastAsia" w:ascii="仿宋_GB2312" w:hAnsi="仿宋_GB2312" w:eastAsia="仿宋_GB2312" w:cs="仿宋_GB2312"/>
          <w:color w:val="auto"/>
          <w:sz w:val="30"/>
          <w:szCs w:val="30"/>
          <w:highlight w:val="none"/>
        </w:rPr>
        <w:t>坚持“三全育人”“五育并举”，树立“素质教育在课堂”理念，深化课程改革，精细教学常规，严格教学管理，</w:t>
      </w:r>
      <w:r>
        <w:rPr>
          <w:rFonts w:hint="eastAsia"/>
          <w:color w:val="auto"/>
          <w:sz w:val="30"/>
          <w:szCs w:val="30"/>
          <w:highlight w:val="none"/>
        </w:rPr>
        <w:t>我校在2020年下学期期末</w:t>
      </w:r>
      <w:r>
        <w:rPr>
          <w:rFonts w:hint="eastAsia"/>
          <w:color w:val="auto"/>
          <w:sz w:val="30"/>
          <w:szCs w:val="30"/>
          <w:highlight w:val="none"/>
          <w:lang w:eastAsia="zh-CN"/>
        </w:rPr>
        <w:t>三、五年级</w:t>
      </w:r>
      <w:r>
        <w:rPr>
          <w:rFonts w:hint="eastAsia"/>
          <w:color w:val="auto"/>
          <w:sz w:val="30"/>
          <w:szCs w:val="30"/>
          <w:highlight w:val="none"/>
        </w:rPr>
        <w:t>调研考试中，三</w:t>
      </w:r>
      <w:r>
        <w:rPr>
          <w:rFonts w:hint="eastAsia"/>
          <w:color w:val="auto"/>
          <w:sz w:val="30"/>
          <w:szCs w:val="30"/>
        </w:rPr>
        <w:t>年级荣获全县第2名，五年级荣获全县第3名。</w:t>
      </w:r>
    </w:p>
    <w:p>
      <w:pPr>
        <w:spacing w:line="60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（三）环境性效益分析：</w:t>
      </w:r>
    </w:p>
    <w:p>
      <w:pPr>
        <w:spacing w:line="60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通过环境保护和垃圾分类知识宣传，倡导全民养成低碳、节能减排的科学生活方式；注重绿色环保、生态种养、要金山银山，更要青山绿水。</w:t>
      </w:r>
    </w:p>
    <w:p>
      <w:pPr>
        <w:spacing w:line="60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（四）可持续性影响分析：</w:t>
      </w:r>
    </w:p>
    <w:p>
      <w:pPr>
        <w:spacing w:line="60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通过一系列教育工作的开展，将会不断提升全县人民的文化素养，积极推动科技创新，从而为南县经济发展提供智力支持。</w:t>
      </w:r>
    </w:p>
    <w:p>
      <w:pPr>
        <w:pStyle w:val="2"/>
        <w:numPr>
          <w:ilvl w:val="0"/>
          <w:numId w:val="2"/>
        </w:numPr>
        <w:spacing w:line="600" w:lineRule="exact"/>
        <w:rPr>
          <w:rFonts w:ascii="仿宋" w:hAnsi="仿宋" w:eastAsia="仿宋" w:cs="仿宋"/>
          <w:b/>
          <w:bCs/>
          <w:color w:val="auto"/>
          <w:sz w:val="32"/>
          <w:szCs w:val="32"/>
        </w:rPr>
      </w:pPr>
      <w:r>
        <w:rPr>
          <w:rFonts w:hint="eastAsia" w:ascii="仿宋" w:hAnsi="仿宋" w:eastAsia="仿宋" w:cs="仿宋"/>
          <w:b/>
          <w:bCs/>
          <w:color w:val="auto"/>
          <w:sz w:val="32"/>
          <w:szCs w:val="32"/>
        </w:rPr>
        <w:t>存在的问题</w:t>
      </w:r>
    </w:p>
    <w:p>
      <w:pPr>
        <w:spacing w:line="600" w:lineRule="exact"/>
        <w:ind w:firstLine="640" w:firstLineChars="200"/>
        <w:rPr>
          <w:rFonts w:ascii="仿宋" w:hAnsi="仿宋" w:eastAsia="仿宋" w:cs="仿宋"/>
          <w:color w:val="auto"/>
          <w:sz w:val="32"/>
          <w:szCs w:val="32"/>
        </w:rPr>
      </w:pPr>
      <w:r>
        <w:rPr>
          <w:rFonts w:hint="eastAsia" w:ascii="仿宋_GB2312" w:hAnsi="仿宋_GB2312" w:eastAsia="仿宋_GB2312" w:cs="仿宋_GB2312"/>
          <w:color w:val="auto"/>
          <w:sz w:val="32"/>
          <w:szCs w:val="32"/>
        </w:rPr>
        <w:t>一是优质资源总量不足，教学质量不够高，学校规模不能再能扩大，没有多余的教室、功能室。二是教师队伍管理亟待加强。学校存在教师结构性缺编现象，亟待引进补充，少数教师法纪观念、师德表现、工作态度和敬业精神与基本要求有差距。三是教育改革难度较大。如教师非教学任务过多、学生课业负担重；新</w:t>
      </w:r>
      <w:r>
        <w:rPr>
          <w:rFonts w:hint="eastAsia" w:ascii="仿宋_GB2312" w:hAnsi="仿宋_GB2312" w:eastAsia="仿宋_GB2312" w:cs="仿宋_GB2312"/>
          <w:color w:val="auto"/>
          <w:sz w:val="32"/>
          <w:szCs w:val="32"/>
          <w:lang w:eastAsia="zh-CN"/>
        </w:rPr>
        <w:t>课标</w:t>
      </w:r>
      <w:r>
        <w:rPr>
          <w:rFonts w:hint="eastAsia" w:ascii="仿宋_GB2312" w:hAnsi="仿宋_GB2312" w:eastAsia="仿宋_GB2312" w:cs="仿宋_GB2312"/>
          <w:color w:val="auto"/>
          <w:sz w:val="32"/>
          <w:szCs w:val="32"/>
        </w:rPr>
        <w:t>下硬件、师资、课程改革难；资源配置不均，教师工作量不均衡等问题。四是学校安全隐患仍然较多，特别是安全管控压力较大。</w:t>
      </w:r>
    </w:p>
    <w:p>
      <w:pPr>
        <w:spacing w:line="60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 xml:space="preserve">五、有关建议 </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财政部门根据教育实际情况，适当增加预算。</w:t>
      </w:r>
    </w:p>
    <w:p>
      <w:pPr>
        <w:numPr>
          <w:ilvl w:val="0"/>
          <w:numId w:val="3"/>
        </w:numPr>
        <w:spacing w:line="600" w:lineRule="exact"/>
        <w:ind w:firstLine="643" w:firstLineChars="200"/>
        <w:rPr>
          <w:rFonts w:ascii="仿宋" w:hAnsi="仿宋" w:eastAsia="仿宋" w:cs="仿宋"/>
          <w:color w:val="auto"/>
          <w:sz w:val="32"/>
          <w:szCs w:val="32"/>
        </w:rPr>
      </w:pPr>
      <w:r>
        <w:rPr>
          <w:rFonts w:hint="eastAsia" w:ascii="仿宋" w:hAnsi="仿宋" w:eastAsia="仿宋" w:cs="仿宋"/>
          <w:b/>
          <w:bCs/>
          <w:color w:val="auto"/>
          <w:sz w:val="32"/>
          <w:szCs w:val="32"/>
        </w:rPr>
        <w:t>其他需要说明的问题：无</w:t>
      </w:r>
    </w:p>
    <w:p>
      <w:pPr>
        <w:spacing w:line="600" w:lineRule="exact"/>
        <w:jc w:val="right"/>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南县德昌实验学校</w:t>
      </w:r>
    </w:p>
    <w:p>
      <w:pPr>
        <w:spacing w:line="600" w:lineRule="exact"/>
        <w:jc w:val="right"/>
        <w:rPr>
          <w:color w:val="auto"/>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年3月</w:t>
      </w:r>
      <w:r>
        <w:rPr>
          <w:rFonts w:ascii="仿宋" w:hAnsi="仿宋" w:eastAsia="仿宋" w:cs="仿宋"/>
          <w:color w:val="auto"/>
          <w:sz w:val="32"/>
          <w:szCs w:val="32"/>
        </w:rPr>
        <w:t>1</w:t>
      </w:r>
      <w:r>
        <w:rPr>
          <w:rFonts w:hint="eastAsia" w:ascii="仿宋" w:hAnsi="仿宋" w:eastAsia="仿宋" w:cs="仿宋"/>
          <w:color w:val="auto"/>
          <w:sz w:val="32"/>
          <w:szCs w:val="32"/>
        </w:rPr>
        <w:t>日</w:t>
      </w:r>
    </w:p>
    <w:p>
      <w:pPr>
        <w:spacing w:line="600" w:lineRule="exact"/>
        <w:rPr>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color w:val="auto"/>
        </w:rPr>
      </w:pPr>
    </w:p>
    <w:p>
      <w:pPr>
        <w:spacing w:line="560" w:lineRule="exact"/>
        <w:ind w:firstLine="560"/>
        <w:rPr>
          <w:rFonts w:ascii="黑体" w:hAnsi="黑体" w:eastAsia="黑体"/>
          <w:color w:val="auto"/>
          <w:sz w:val="28"/>
          <w:szCs w:val="28"/>
        </w:rPr>
      </w:pPr>
      <w:r>
        <w:rPr>
          <w:rFonts w:hint="eastAsia" w:ascii="黑体" w:hAnsi="黑体" w:eastAsia="黑体"/>
          <w:color w:val="auto"/>
          <w:sz w:val="28"/>
          <w:szCs w:val="28"/>
        </w:rPr>
        <w:t>附件1</w:t>
      </w:r>
    </w:p>
    <w:p>
      <w:pPr>
        <w:ind w:firstLine="720"/>
        <w:jc w:val="center"/>
        <w:rPr>
          <w:rFonts w:hint="eastAsia" w:ascii="黑体" w:hAnsi="黑体" w:eastAsia="黑体"/>
          <w:color w:val="auto"/>
          <w:sz w:val="36"/>
          <w:szCs w:val="36"/>
        </w:rPr>
      </w:pPr>
      <w:r>
        <w:rPr>
          <w:rFonts w:hint="eastAsia" w:ascii="黑体" w:hAnsi="黑体" w:eastAsia="黑体"/>
          <w:color w:val="auto"/>
          <w:sz w:val="36"/>
          <w:szCs w:val="36"/>
        </w:rPr>
        <w:t>20</w:t>
      </w:r>
      <w:r>
        <w:rPr>
          <w:rFonts w:hint="eastAsia" w:ascii="黑体" w:hAnsi="黑体" w:eastAsia="黑体"/>
          <w:color w:val="auto"/>
          <w:sz w:val="36"/>
          <w:szCs w:val="36"/>
          <w:lang w:val="en-US" w:eastAsia="zh-CN"/>
        </w:rPr>
        <w:t>20</w:t>
      </w:r>
      <w:r>
        <w:rPr>
          <w:rFonts w:hint="eastAsia" w:ascii="黑体" w:hAnsi="黑体" w:eastAsia="黑体"/>
          <w:color w:val="auto"/>
          <w:sz w:val="36"/>
          <w:szCs w:val="36"/>
        </w:rPr>
        <w:t>年部门整体支出绩效自评指标计分表</w:t>
      </w:r>
    </w:p>
    <w:p>
      <w:pPr>
        <w:spacing w:line="300" w:lineRule="exact"/>
        <w:ind w:firstLine="640"/>
        <w:rPr>
          <w:rFonts w:hint="default" w:ascii="黑体" w:hAnsi="黑体" w:eastAsia="黑体"/>
          <w:color w:val="auto"/>
          <w:lang w:val="en-US" w:eastAsia="zh-CN"/>
        </w:rPr>
      </w:pPr>
      <w:r>
        <w:rPr>
          <w:rFonts w:hint="eastAsia" w:ascii="黑体" w:hAnsi="黑体" w:eastAsia="黑体"/>
          <w:color w:val="auto"/>
        </w:rPr>
        <w:t xml:space="preserve"> </w:t>
      </w:r>
      <w:r>
        <w:rPr>
          <w:rFonts w:hint="eastAsia" w:ascii="黑体" w:hAnsi="黑体" w:eastAsia="黑体"/>
          <w:color w:val="auto"/>
          <w:lang w:val="en-US" w:eastAsia="zh-CN"/>
        </w:rPr>
        <w:t>合计：93分</w:t>
      </w:r>
    </w:p>
    <w:tbl>
      <w:tblPr>
        <w:tblStyle w:val="5"/>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auto"/>
                <w:lang w:eastAsia="zh-CN"/>
              </w:rPr>
            </w:pPr>
            <w:r>
              <w:rPr>
                <w:rFonts w:hint="eastAsia" w:ascii="黑体" w:hAnsi="黑体" w:eastAsia="黑体"/>
                <w:color w:val="auto"/>
              </w:rPr>
              <w:t>一级</w:t>
            </w:r>
          </w:p>
          <w:p>
            <w:pPr>
              <w:spacing w:line="240" w:lineRule="exact"/>
              <w:ind w:firstLine="640"/>
              <w:jc w:val="center"/>
              <w:rPr>
                <w:rFonts w:hint="eastAsia" w:ascii="黑体" w:hAnsi="黑体" w:eastAsia="黑体"/>
                <w:color w:val="auto"/>
              </w:rPr>
            </w:pPr>
            <w:r>
              <w:rPr>
                <w:rFonts w:hint="eastAsia" w:ascii="黑体" w:hAnsi="黑体" w:eastAsia="黑体"/>
                <w:color w:val="auto"/>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auto"/>
              </w:rPr>
            </w:pPr>
            <w:r>
              <w:rPr>
                <w:rFonts w:hint="eastAsia" w:ascii="黑体" w:hAnsi="黑体" w:eastAsia="黑体"/>
                <w:color w:val="auto"/>
              </w:rPr>
              <w:t>二级</w:t>
            </w:r>
          </w:p>
          <w:p>
            <w:pPr>
              <w:spacing w:line="240" w:lineRule="exact"/>
              <w:ind w:firstLine="640"/>
              <w:jc w:val="center"/>
              <w:rPr>
                <w:rFonts w:hint="eastAsia" w:ascii="黑体" w:hAnsi="黑体" w:eastAsia="黑体"/>
                <w:color w:val="auto"/>
              </w:rPr>
            </w:pPr>
            <w:r>
              <w:rPr>
                <w:rFonts w:hint="eastAsia" w:ascii="黑体" w:hAnsi="黑体" w:eastAsia="黑体"/>
                <w:color w:val="auto"/>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auto"/>
              </w:rPr>
            </w:pPr>
            <w:r>
              <w:rPr>
                <w:rFonts w:hint="eastAsia" w:ascii="黑体" w:hAnsi="黑体" w:eastAsia="黑体"/>
                <w:color w:val="auto"/>
              </w:rPr>
              <w:t>三级  指标</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auto"/>
              </w:rPr>
            </w:pPr>
            <w:r>
              <w:rPr>
                <w:rFonts w:hint="eastAsia" w:ascii="黑体" w:hAnsi="黑体" w:eastAsia="黑体"/>
                <w:color w:val="auto"/>
              </w:rPr>
              <w:t>自评分</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auto"/>
              </w:rPr>
            </w:pPr>
            <w:r>
              <w:rPr>
                <w:rFonts w:hint="eastAsia" w:ascii="黑体" w:hAnsi="黑体" w:eastAsia="黑体"/>
                <w:color w:val="auto"/>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auto"/>
              </w:rPr>
            </w:pPr>
            <w:r>
              <w:rPr>
                <w:rFonts w:hint="eastAsia" w:ascii="黑体" w:hAnsi="黑体" w:eastAsia="黑体"/>
                <w:color w:val="auto"/>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auto"/>
              </w:rPr>
            </w:pPr>
            <w:r>
              <w:rPr>
                <w:rFonts w:hint="eastAsia" w:ascii="仿宋_GB2312" w:hAnsi="宋体"/>
                <w:color w:val="auto"/>
              </w:rPr>
              <w:t>投 入</w:t>
            </w:r>
          </w:p>
          <w:p>
            <w:pPr>
              <w:spacing w:line="240" w:lineRule="exact"/>
              <w:ind w:firstLine="640"/>
              <w:jc w:val="center"/>
              <w:rPr>
                <w:rFonts w:hint="eastAsia" w:ascii="仿宋_GB2312" w:hAnsi="宋体"/>
                <w:color w:val="auto"/>
              </w:rPr>
            </w:pPr>
            <w:r>
              <w:rPr>
                <w:rFonts w:hint="eastAsia" w:ascii="仿宋_GB2312" w:hAnsi="宋体"/>
                <w:color w:val="auto"/>
              </w:rPr>
              <w:t>（</w:t>
            </w:r>
            <w:r>
              <w:rPr>
                <w:rFonts w:hint="eastAsia" w:ascii="仿宋_GB2312" w:hAnsi="宋体" w:eastAsia="仿宋_GB2312"/>
                <w:color w:val="auto"/>
              </w:rPr>
              <w:t>20</w:t>
            </w:r>
            <w:r>
              <w:rPr>
                <w:rFonts w:hint="eastAsia" w:ascii="宋体" w:hAnsi="宋体"/>
                <w:color w:val="auto"/>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auto"/>
                <w:sz w:val="18"/>
                <w:szCs w:val="18"/>
                <w:lang w:eastAsia="zh-CN"/>
              </w:rPr>
            </w:pPr>
            <w:r>
              <w:rPr>
                <w:rFonts w:hint="eastAsia" w:ascii="宋体" w:hAnsi="宋体"/>
                <w:color w:val="auto"/>
                <w:sz w:val="18"/>
                <w:szCs w:val="18"/>
              </w:rPr>
              <w:t>目标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设定</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绩效目标合理性</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auto"/>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绩效指标明确性</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（3分）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33</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auto"/>
                <w:sz w:val="18"/>
                <w:szCs w:val="18"/>
                <w:lang w:eastAsia="zh-CN"/>
              </w:rPr>
            </w:pPr>
            <w:r>
              <w:rPr>
                <w:rFonts w:hint="eastAsia" w:ascii="宋体" w:hAnsi="宋体"/>
                <w:color w:val="auto"/>
                <w:sz w:val="18"/>
                <w:szCs w:val="18"/>
              </w:rPr>
              <w:t>预算</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配置</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在职人员控制率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auto"/>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“三公</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经费”</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变动率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auto"/>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重点支出安排率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auto"/>
              </w:rPr>
            </w:pPr>
            <w:r>
              <w:rPr>
                <w:rFonts w:hint="eastAsia" w:ascii="仿宋_GB2312" w:hAnsi="宋体"/>
                <w:color w:val="auto"/>
              </w:rPr>
              <w:t>过  程（</w:t>
            </w:r>
            <w:r>
              <w:rPr>
                <w:rFonts w:hint="eastAsia" w:ascii="仿宋_GB2312" w:hAnsi="宋体" w:eastAsia="仿宋_GB2312"/>
                <w:color w:val="auto"/>
              </w:rPr>
              <w:t>30</w:t>
            </w:r>
            <w:r>
              <w:rPr>
                <w:rFonts w:hint="eastAsia" w:ascii="宋体" w:hAnsi="宋体"/>
                <w:color w:val="auto"/>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auto"/>
                <w:sz w:val="18"/>
                <w:szCs w:val="18"/>
                <w:lang w:eastAsia="zh-CN"/>
              </w:rPr>
            </w:pPr>
            <w:r>
              <w:rPr>
                <w:rFonts w:hint="eastAsia" w:ascii="宋体" w:hAnsi="宋体"/>
                <w:color w:val="auto"/>
                <w:sz w:val="18"/>
                <w:szCs w:val="18"/>
              </w:rPr>
              <w:t>预算</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执行</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预算</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完成率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33</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auto"/>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预算</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调整率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auto"/>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支付</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进度率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auto"/>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结转结余控制率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44</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auto"/>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公用经费控制率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color w:val="auto"/>
              </w:rPr>
            </w:pPr>
          </w:p>
          <w:p>
            <w:pPr>
              <w:bidi w:val="0"/>
              <w:jc w:val="left"/>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auto"/>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“三公经费”控制率（2分）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auto"/>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政府采购执行率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33</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auto"/>
              </w:rPr>
            </w:pPr>
            <w:r>
              <w:rPr>
                <w:rFonts w:hint="eastAsia" w:ascii="仿宋_GB2312" w:hAnsi="宋体"/>
                <w:color w:val="auto"/>
              </w:rPr>
              <w:t>预算</w:t>
            </w:r>
          </w:p>
          <w:p>
            <w:pPr>
              <w:spacing w:line="240" w:lineRule="exact"/>
              <w:ind w:firstLine="640"/>
              <w:jc w:val="center"/>
              <w:rPr>
                <w:rFonts w:hint="eastAsia" w:ascii="仿宋_GB2312" w:hAnsi="宋体"/>
                <w:color w:val="auto"/>
              </w:rPr>
            </w:pPr>
            <w:r>
              <w:rPr>
                <w:rFonts w:hint="eastAsia" w:ascii="仿宋_GB2312" w:hAnsi="宋体"/>
                <w:color w:val="auto"/>
              </w:rPr>
              <w:t>管理</w:t>
            </w:r>
          </w:p>
          <w:p>
            <w:pPr>
              <w:spacing w:line="240" w:lineRule="exact"/>
              <w:ind w:firstLine="640"/>
              <w:jc w:val="center"/>
              <w:rPr>
                <w:rFonts w:hint="eastAsia" w:ascii="仿宋_GB2312" w:hAnsi="宋体"/>
                <w:color w:val="auto"/>
              </w:rPr>
            </w:pPr>
            <w:r>
              <w:rPr>
                <w:rFonts w:hint="eastAsia" w:ascii="仿宋_GB2312" w:hAnsi="宋体"/>
                <w:color w:val="auto"/>
              </w:rPr>
              <w:t>（</w:t>
            </w:r>
            <w:r>
              <w:rPr>
                <w:rFonts w:hint="eastAsia" w:ascii="仿宋_GB2312" w:hAnsi="宋体" w:eastAsia="仿宋_GB2312"/>
                <w:color w:val="auto"/>
              </w:rPr>
              <w:t>5</w:t>
            </w:r>
            <w:r>
              <w:rPr>
                <w:rFonts w:hint="eastAsia" w:ascii="宋体" w:hAnsi="宋体"/>
                <w:color w:val="auto"/>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管理制度健全性</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auto"/>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资金使用合规性</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auto"/>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预决算信息公开性</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auto"/>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基础信息完善性</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eastAsia="宋体"/>
                <w:color w:val="auto"/>
                <w:lang w:eastAsia="zh-CN"/>
              </w:rPr>
            </w:pPr>
            <w:r>
              <w:rPr>
                <w:rFonts w:hint="eastAsia" w:ascii="仿宋_GB2312" w:hAnsi="宋体"/>
                <w:color w:val="auto"/>
              </w:rPr>
              <w:t>资产</w:t>
            </w:r>
          </w:p>
          <w:p>
            <w:pPr>
              <w:spacing w:line="240" w:lineRule="exact"/>
              <w:ind w:firstLine="640"/>
              <w:jc w:val="center"/>
              <w:rPr>
                <w:rFonts w:hint="eastAsia" w:ascii="仿宋_GB2312" w:hAnsi="宋体"/>
                <w:color w:val="auto"/>
              </w:rPr>
            </w:pPr>
            <w:r>
              <w:rPr>
                <w:rFonts w:hint="eastAsia" w:ascii="仿宋_GB2312" w:hAnsi="宋体"/>
                <w:color w:val="auto"/>
              </w:rPr>
              <w:t>管理</w:t>
            </w:r>
          </w:p>
          <w:p>
            <w:pPr>
              <w:spacing w:line="240" w:lineRule="exact"/>
              <w:ind w:firstLine="640"/>
              <w:jc w:val="center"/>
              <w:rPr>
                <w:rFonts w:hint="eastAsia" w:ascii="仿宋_GB2312" w:hAnsi="宋体"/>
                <w:color w:val="auto"/>
              </w:rPr>
            </w:pPr>
            <w:r>
              <w:rPr>
                <w:rFonts w:hint="eastAsia" w:ascii="仿宋_GB2312" w:hAnsi="宋体"/>
                <w:color w:val="auto"/>
              </w:rPr>
              <w:t>（</w:t>
            </w:r>
            <w:r>
              <w:rPr>
                <w:rFonts w:hint="eastAsia" w:ascii="仿宋_GB2312" w:hAnsi="宋体" w:eastAsia="仿宋_GB2312"/>
                <w:color w:val="auto"/>
              </w:rPr>
              <w:t>5</w:t>
            </w:r>
            <w:r>
              <w:rPr>
                <w:rFonts w:hint="eastAsia" w:ascii="宋体" w:hAnsi="宋体"/>
                <w:color w:val="auto"/>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管理制度健全性</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color w:val="auto"/>
              </w:rPr>
            </w:pPr>
          </w:p>
          <w:p>
            <w:pPr>
              <w:bidi w:val="0"/>
              <w:jc w:val="center"/>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auto"/>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资产管理安全性</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color w:val="auto"/>
              </w:rPr>
            </w:pPr>
          </w:p>
          <w:p>
            <w:pPr>
              <w:bidi w:val="0"/>
              <w:jc w:val="center"/>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auto"/>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固定资产利用率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11</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auto"/>
              </w:rPr>
            </w:pPr>
            <w:r>
              <w:rPr>
                <w:rFonts w:hint="eastAsia" w:ascii="仿宋_GB2312" w:hAnsi="宋体"/>
                <w:color w:val="auto"/>
              </w:rPr>
              <w:t>产  出（</w:t>
            </w:r>
            <w:r>
              <w:rPr>
                <w:rFonts w:hint="eastAsia" w:ascii="仿宋_GB2312" w:hAnsi="宋体" w:eastAsia="仿宋_GB2312"/>
                <w:color w:val="auto"/>
              </w:rPr>
              <w:t>30</w:t>
            </w:r>
            <w:r>
              <w:rPr>
                <w:rFonts w:hint="eastAsia" w:ascii="宋体" w:hAnsi="宋体"/>
                <w:color w:val="auto"/>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auto"/>
                <w:sz w:val="18"/>
                <w:szCs w:val="18"/>
                <w:lang w:eastAsia="zh-CN"/>
              </w:rPr>
            </w:pPr>
            <w:r>
              <w:rPr>
                <w:rFonts w:hint="eastAsia" w:ascii="仿宋_GB2312" w:hAnsi="宋体"/>
                <w:color w:val="auto"/>
                <w:sz w:val="18"/>
                <w:szCs w:val="18"/>
              </w:rPr>
              <w:t>职责</w:t>
            </w:r>
          </w:p>
          <w:p>
            <w:pPr>
              <w:spacing w:line="240" w:lineRule="exact"/>
              <w:ind w:firstLine="360"/>
              <w:jc w:val="center"/>
              <w:rPr>
                <w:rFonts w:hint="eastAsia" w:ascii="仿宋_GB2312" w:hAnsi="宋体"/>
                <w:color w:val="auto"/>
                <w:sz w:val="18"/>
                <w:szCs w:val="18"/>
              </w:rPr>
            </w:pPr>
            <w:r>
              <w:rPr>
                <w:rFonts w:hint="eastAsia" w:ascii="仿宋_GB2312" w:hAnsi="宋体"/>
                <w:color w:val="auto"/>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实际</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完成率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（8分）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77</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auto"/>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完成</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及时率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44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auto"/>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质量</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达标率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（8分）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77</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auto"/>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重点工作办结率</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（10分）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99</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auto"/>
              </w:rPr>
            </w:pPr>
            <w:r>
              <w:rPr>
                <w:rFonts w:hint="eastAsia" w:ascii="仿宋_GB2312" w:hAnsi="宋体"/>
                <w:color w:val="auto"/>
              </w:rPr>
              <w:t>效  果（</w:t>
            </w:r>
            <w:r>
              <w:rPr>
                <w:rFonts w:hint="eastAsia" w:ascii="仿宋_GB2312" w:hAnsi="宋体" w:eastAsia="仿宋_GB2312"/>
                <w:color w:val="auto"/>
              </w:rPr>
              <w:t>20</w:t>
            </w:r>
            <w:r>
              <w:rPr>
                <w:rFonts w:hint="eastAsia" w:ascii="宋体" w:hAnsi="宋体"/>
                <w:color w:val="auto"/>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auto"/>
                <w:sz w:val="18"/>
                <w:szCs w:val="18"/>
                <w:lang w:eastAsia="zh-CN"/>
              </w:rPr>
            </w:pPr>
            <w:r>
              <w:rPr>
                <w:rFonts w:hint="eastAsia" w:ascii="仿宋_GB2312" w:hAnsi="宋体"/>
                <w:color w:val="auto"/>
                <w:sz w:val="18"/>
                <w:szCs w:val="18"/>
              </w:rPr>
              <w:t>履职</w:t>
            </w:r>
          </w:p>
          <w:p>
            <w:pPr>
              <w:spacing w:line="240" w:lineRule="exact"/>
              <w:ind w:firstLine="360"/>
              <w:jc w:val="center"/>
              <w:rPr>
                <w:rFonts w:hint="eastAsia" w:ascii="仿宋_GB2312" w:hAnsi="宋体"/>
                <w:color w:val="auto"/>
                <w:sz w:val="18"/>
                <w:szCs w:val="18"/>
              </w:rPr>
            </w:pPr>
            <w:r>
              <w:rPr>
                <w:rFonts w:hint="eastAsia" w:ascii="仿宋_GB2312" w:hAnsi="宋体"/>
                <w:color w:val="auto"/>
                <w:sz w:val="18"/>
                <w:szCs w:val="18"/>
              </w:rPr>
              <w:t>效益</w:t>
            </w:r>
          </w:p>
          <w:p>
            <w:pPr>
              <w:spacing w:line="240" w:lineRule="exact"/>
              <w:ind w:firstLine="360"/>
              <w:jc w:val="center"/>
              <w:rPr>
                <w:rFonts w:hint="eastAsia" w:ascii="仿宋_GB2312" w:hAnsi="宋体"/>
                <w:color w:val="auto"/>
                <w:sz w:val="18"/>
                <w:szCs w:val="18"/>
              </w:rPr>
            </w:pPr>
            <w:r>
              <w:rPr>
                <w:rFonts w:hint="eastAsia" w:ascii="仿宋_GB2312" w:hAnsi="宋体"/>
                <w:color w:val="auto"/>
                <w:sz w:val="18"/>
                <w:szCs w:val="18"/>
              </w:rPr>
              <w:t>（</w:t>
            </w:r>
            <w:r>
              <w:rPr>
                <w:rFonts w:hint="eastAsia" w:ascii="仿宋_GB2312" w:hAnsi="宋体" w:eastAsia="仿宋_GB2312"/>
                <w:color w:val="auto"/>
                <w:sz w:val="18"/>
                <w:szCs w:val="18"/>
              </w:rPr>
              <w:t>20</w:t>
            </w:r>
            <w:r>
              <w:rPr>
                <w:rFonts w:hint="eastAsia" w:ascii="宋体" w:hAnsi="宋体"/>
                <w:color w:val="auto"/>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经济效益</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auto"/>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社会效益</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color w:val="auto"/>
              </w:rPr>
            </w:pPr>
          </w:p>
          <w:p>
            <w:pPr>
              <w:bidi w:val="0"/>
              <w:ind w:firstLine="214" w:firstLineChars="0"/>
              <w:jc w:val="left"/>
              <w:rPr>
                <w:rFonts w:hint="default" w:ascii="Calibri" w:hAnsi="Calibri"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auto"/>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auto"/>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生态效益</w:t>
            </w:r>
          </w:p>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44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auto"/>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nil"/>
              <w:right w:val="single" w:color="auto" w:sz="4" w:space="0"/>
            </w:tcBorders>
            <w:vAlign w:val="center"/>
          </w:tcPr>
          <w:p>
            <w:pPr>
              <w:widowControl/>
              <w:ind w:firstLine="420"/>
              <w:jc w:val="left"/>
              <w:rPr>
                <w:rFonts w:ascii="仿宋_GB2312" w:hAnsi="宋体"/>
                <w:color w:val="auto"/>
              </w:rPr>
            </w:pPr>
          </w:p>
        </w:tc>
        <w:tc>
          <w:tcPr>
            <w:tcW w:w="784" w:type="dxa"/>
            <w:vMerge w:val="continue"/>
            <w:tcBorders>
              <w:top w:val="nil"/>
              <w:left w:val="nil"/>
              <w:bottom w:val="nil"/>
              <w:right w:val="single" w:color="auto" w:sz="4" w:space="0"/>
            </w:tcBorders>
            <w:vAlign w:val="center"/>
          </w:tcPr>
          <w:p>
            <w:pPr>
              <w:widowControl/>
              <w:ind w:firstLine="360"/>
              <w:jc w:val="left"/>
              <w:rPr>
                <w:rFonts w:ascii="仿宋_GB2312" w:hAnsi="宋体"/>
                <w:color w:val="auto"/>
                <w:sz w:val="18"/>
                <w:szCs w:val="18"/>
              </w:rPr>
            </w:pPr>
          </w:p>
        </w:tc>
        <w:tc>
          <w:tcPr>
            <w:tcW w:w="848" w:type="dxa"/>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r>
              <w:rPr>
                <w:rFonts w:hint="eastAsia" w:ascii="宋体" w:hAnsi="宋体"/>
                <w:color w:val="auto"/>
                <w:sz w:val="18"/>
                <w:szCs w:val="18"/>
              </w:rPr>
              <w:t>社会公众或服务对象满意度（5分）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44</w:t>
            </w:r>
          </w:p>
        </w:tc>
        <w:tc>
          <w:tcPr>
            <w:tcW w:w="2792" w:type="dxa"/>
            <w:tcBorders>
              <w:top w:val="nil"/>
              <w:left w:val="nil"/>
              <w:bottom w:val="nil"/>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sz w:val="18"/>
                <w:szCs w:val="18"/>
              </w:rPr>
              <w:t>社会公众或部门的服务对象对部门履职效果的满意程度。</w:t>
            </w:r>
          </w:p>
        </w:tc>
        <w:tc>
          <w:tcPr>
            <w:tcW w:w="4372" w:type="dxa"/>
            <w:tcBorders>
              <w:top w:val="nil"/>
              <w:left w:val="nil"/>
              <w:bottom w:val="nil"/>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r>
              <w:rPr>
                <w:rFonts w:hint="eastAsia" w:ascii="宋体" w:hAnsi="宋体"/>
                <w:color w:val="auto"/>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nil"/>
              <w:left w:val="single" w:color="auto" w:sz="4" w:space="0"/>
              <w:bottom w:val="single" w:color="auto" w:sz="4" w:space="0"/>
              <w:right w:val="single" w:color="auto" w:sz="4" w:space="0"/>
            </w:tcBorders>
            <w:vAlign w:val="center"/>
          </w:tcPr>
          <w:p>
            <w:pPr>
              <w:widowControl/>
              <w:ind w:firstLine="420"/>
              <w:jc w:val="right"/>
              <w:rPr>
                <w:rFonts w:hint="eastAsia" w:ascii="仿宋_GB2312" w:hAnsi="宋体" w:eastAsia="宋体"/>
                <w:color w:val="auto"/>
                <w:lang w:val="en-US" w:eastAsia="zh-CN"/>
              </w:rPr>
            </w:pPr>
            <w:r>
              <w:rPr>
                <w:rFonts w:hint="eastAsia" w:ascii="仿宋_GB2312" w:hAnsi="宋体"/>
                <w:color w:val="auto"/>
                <w:lang w:val="en-US" w:eastAsia="zh-CN"/>
              </w:rPr>
              <w:t>合计</w:t>
            </w:r>
          </w:p>
        </w:tc>
        <w:tc>
          <w:tcPr>
            <w:tcW w:w="784" w:type="dxa"/>
            <w:tcBorders>
              <w:top w:val="nil"/>
              <w:left w:val="nil"/>
              <w:bottom w:val="single" w:color="auto" w:sz="4" w:space="0"/>
              <w:right w:val="single" w:color="auto" w:sz="4" w:space="0"/>
            </w:tcBorders>
            <w:vAlign w:val="center"/>
          </w:tcPr>
          <w:p>
            <w:pPr>
              <w:widowControl/>
              <w:ind w:firstLine="360"/>
              <w:jc w:val="left"/>
              <w:rPr>
                <w:rFonts w:ascii="仿宋_GB2312" w:hAnsi="宋体"/>
                <w:color w:val="auto"/>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auto"/>
                <w:sz w:val="18"/>
                <w:szCs w:val="18"/>
              </w:rPr>
            </w:pP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993</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sz w:val="18"/>
                <w:szCs w:val="18"/>
              </w:rPr>
            </w:pP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auto"/>
                <w:kern w:val="0"/>
                <w:sz w:val="18"/>
                <w:szCs w:val="18"/>
              </w:rPr>
            </w:pP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p>
    <w:p>
      <w:pPr>
        <w:shd w:val="clear" w:color="auto" w:fill="FFFFFF"/>
        <w:spacing w:line="580" w:lineRule="exact"/>
        <w:ind w:firstLine="640"/>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E5ABAE0B"/>
    <w:multiLevelType w:val="singleLevel"/>
    <w:tmpl w:val="E5ABAE0B"/>
    <w:lvl w:ilvl="0" w:tentative="0">
      <w:start w:val="1"/>
      <w:numFmt w:val="decimal"/>
      <w:suff w:val="nothing"/>
      <w:lvlText w:val="%1、"/>
      <w:lvlJc w:val="left"/>
    </w:lvl>
  </w:abstractNum>
  <w:abstractNum w:abstractNumId="2">
    <w:nsid w:val="20157C51"/>
    <w:multiLevelType w:val="singleLevel"/>
    <w:tmpl w:val="20157C51"/>
    <w:lvl w:ilvl="0" w:tentative="0">
      <w:start w:val="4"/>
      <w:numFmt w:val="chineseCounting"/>
      <w:suff w:val="nothing"/>
      <w:lvlText w:val="%1、"/>
      <w:lvlJc w:val="left"/>
      <w:pPr>
        <w:ind w:left="64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GU5ZmRmYzc1ZjFlYzZmYmQ2YzBmYzdkZTA1NGEifQ=="/>
  </w:docVars>
  <w:rsids>
    <w:rsidRoot w:val="42DA4ECB"/>
    <w:rsid w:val="029C6545"/>
    <w:rsid w:val="03483E9E"/>
    <w:rsid w:val="034911D9"/>
    <w:rsid w:val="063407A8"/>
    <w:rsid w:val="0CBF7D88"/>
    <w:rsid w:val="0D1D090D"/>
    <w:rsid w:val="0D2B38F5"/>
    <w:rsid w:val="0FD82A84"/>
    <w:rsid w:val="182C6F88"/>
    <w:rsid w:val="1AAB5D73"/>
    <w:rsid w:val="1E2958E0"/>
    <w:rsid w:val="207B61C6"/>
    <w:rsid w:val="20B425A0"/>
    <w:rsid w:val="26372841"/>
    <w:rsid w:val="27115276"/>
    <w:rsid w:val="27144D3A"/>
    <w:rsid w:val="288F7F80"/>
    <w:rsid w:val="2A1225B0"/>
    <w:rsid w:val="2DF9571A"/>
    <w:rsid w:val="42DA4ECB"/>
    <w:rsid w:val="43C61FDF"/>
    <w:rsid w:val="4778183C"/>
    <w:rsid w:val="489A7C7A"/>
    <w:rsid w:val="4E72041F"/>
    <w:rsid w:val="56F55DB4"/>
    <w:rsid w:val="5E86300D"/>
    <w:rsid w:val="5F235DDE"/>
    <w:rsid w:val="5F721E0D"/>
    <w:rsid w:val="616B5187"/>
    <w:rsid w:val="6D2908A1"/>
    <w:rsid w:val="6E5F176C"/>
    <w:rsid w:val="6EDB239C"/>
    <w:rsid w:val="6F603154"/>
    <w:rsid w:val="708F7808"/>
    <w:rsid w:val="75F60FD4"/>
    <w:rsid w:val="761A5E21"/>
    <w:rsid w:val="768C15AF"/>
    <w:rsid w:val="78D66F8A"/>
    <w:rsid w:val="79E75754"/>
    <w:rsid w:val="7D79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5398</Words>
  <Characters>5696</Characters>
  <Lines>0</Lines>
  <Paragraphs>0</Paragraphs>
  <TotalTime>0</TotalTime>
  <ScaleCrop>false</ScaleCrop>
  <LinksUpToDate>false</LinksUpToDate>
  <CharactersWithSpaces>5714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@wang</cp:lastModifiedBy>
  <dcterms:modified xsi:type="dcterms:W3CDTF">2022-07-01T08:58:08Z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886F26425B474793B2F943FEE124D961</vt:lpwstr>
  </property>
</Properties>
</file>