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208"/>
        </w:tabs>
        <w:spacing w:line="600" w:lineRule="exact"/>
        <w:ind w:right="-1373" w:rightChars="-429"/>
        <w:jc w:val="center"/>
        <w:rPr>
          <w:rFonts w:hint="eastAsia" w:ascii="仿宋" w:hAnsi="仿宋" w:eastAsia="仿宋" w:cs="仿宋"/>
          <w:b/>
          <w:sz w:val="32"/>
          <w:szCs w:val="32"/>
        </w:rPr>
      </w:pPr>
    </w:p>
    <w:p>
      <w:pPr>
        <w:pStyle w:val="2"/>
        <w:rPr>
          <w:rFonts w:hint="eastAsia" w:ascii="仿宋" w:hAnsi="仿宋" w:eastAsia="仿宋" w:cs="仿宋"/>
        </w:rPr>
      </w:pPr>
    </w:p>
    <w:p>
      <w:pPr>
        <w:spacing w:line="600" w:lineRule="exact"/>
        <w:ind w:right="-1373" w:rightChars="-429"/>
        <w:rPr>
          <w:rFonts w:hint="eastAsia" w:ascii="仿宋" w:hAnsi="仿宋" w:eastAsia="仿宋" w:cs="仿宋"/>
          <w:b/>
          <w:sz w:val="32"/>
          <w:szCs w:val="32"/>
        </w:rPr>
      </w:pPr>
    </w:p>
    <w:p>
      <w:pPr>
        <w:spacing w:line="600" w:lineRule="exact"/>
        <w:ind w:right="-1373" w:rightChars="-429"/>
        <w:rPr>
          <w:rFonts w:hint="eastAsia" w:ascii="仿宋" w:hAnsi="仿宋" w:eastAsia="仿宋" w:cs="仿宋"/>
          <w:b/>
          <w:sz w:val="32"/>
          <w:szCs w:val="32"/>
        </w:rPr>
      </w:pPr>
    </w:p>
    <w:p>
      <w:pPr>
        <w:adjustRightInd w:val="0"/>
        <w:snapToGrid w:val="0"/>
        <w:ind w:right="-1373" w:rightChars="-429"/>
        <w:rPr>
          <w:rFonts w:hint="eastAsia" w:ascii="仿宋" w:hAnsi="仿宋" w:eastAsia="仿宋" w:cs="仿宋"/>
          <w:b/>
          <w:sz w:val="28"/>
          <w:szCs w:val="32"/>
        </w:rPr>
      </w:pPr>
    </w:p>
    <w:p>
      <w:pPr>
        <w:pStyle w:val="2"/>
        <w:rPr>
          <w:rFonts w:hint="eastAsia" w:ascii="仿宋" w:hAnsi="仿宋" w:eastAsia="仿宋" w:cs="仿宋"/>
          <w:b/>
          <w:sz w:val="28"/>
          <w:szCs w:val="32"/>
        </w:rPr>
      </w:pPr>
    </w:p>
    <w:p>
      <w:pPr>
        <w:jc w:val="left"/>
        <w:rPr>
          <w:rFonts w:hint="eastAsia" w:ascii="仿宋" w:hAnsi="仿宋" w:eastAsia="仿宋" w:cs="仿宋"/>
          <w:w w:val="98"/>
          <w:sz w:val="32"/>
          <w:szCs w:val="32"/>
          <w:lang w:eastAsia="zh-CN"/>
        </w:rPr>
      </w:pPr>
    </w:p>
    <w:p>
      <w:pPr>
        <w:wordWrap w:val="0"/>
        <w:adjustRightInd w:val="0"/>
        <w:snapToGrid w:val="0"/>
        <w:textAlignment w:val="center"/>
        <w:rPr>
          <w:rFonts w:hint="eastAsia" w:ascii="仿宋" w:hAnsi="仿宋" w:eastAsia="仿宋" w:cs="仿宋"/>
          <w:w w:val="98"/>
          <w:sz w:val="56"/>
          <w:szCs w:val="28"/>
        </w:rPr>
      </w:pPr>
    </w:p>
    <w:p>
      <w:pPr>
        <w:spacing w:line="640" w:lineRule="exact"/>
        <w:jc w:val="both"/>
        <w:rPr>
          <w:rFonts w:hint="eastAsia" w:ascii="仿宋" w:hAnsi="仿宋" w:eastAsia="仿宋" w:cs="仿宋"/>
          <w:color w:val="FF0000"/>
          <w:sz w:val="96"/>
          <w:szCs w:val="96"/>
          <w:lang w:val="en-US" w:eastAsia="zh-CN"/>
        </w:rPr>
      </w:pPr>
    </w:p>
    <w:p>
      <w:pPr>
        <w:spacing w:line="640" w:lineRule="exact"/>
        <w:ind w:left="0" w:leftChars="0" w:firstLine="0" w:firstLineChars="0"/>
        <w:jc w:val="center"/>
        <w:rPr>
          <w:rFonts w:hint="eastAsia" w:ascii="仿宋" w:hAnsi="仿宋" w:eastAsia="仿宋" w:cs="仿宋"/>
          <w:b/>
          <w:bCs/>
          <w:sz w:val="40"/>
          <w:szCs w:val="40"/>
        </w:rPr>
      </w:pPr>
      <w:r>
        <w:rPr>
          <w:rFonts w:hint="eastAsia" w:ascii="仿宋" w:hAnsi="仿宋" w:eastAsia="仿宋" w:cs="仿宋"/>
          <w:b/>
          <w:bCs/>
          <w:sz w:val="40"/>
          <w:szCs w:val="40"/>
        </w:rPr>
        <w:t>千人以上饮用水水源地环境问题整治验收</w:t>
      </w:r>
      <w:r>
        <w:rPr>
          <w:rFonts w:hint="eastAsia" w:ascii="仿宋" w:hAnsi="仿宋" w:eastAsia="仿宋" w:cs="仿宋"/>
          <w:b/>
          <w:bCs/>
          <w:sz w:val="40"/>
          <w:szCs w:val="40"/>
          <w:lang w:val="en-US" w:eastAsia="zh-CN"/>
        </w:rPr>
        <w:t xml:space="preserve">    </w:t>
      </w:r>
      <w:r>
        <w:rPr>
          <w:rFonts w:hint="eastAsia" w:ascii="仿宋" w:hAnsi="仿宋" w:eastAsia="仿宋" w:cs="仿宋"/>
          <w:b/>
          <w:bCs/>
          <w:sz w:val="40"/>
          <w:szCs w:val="40"/>
        </w:rPr>
        <w:t>申</w:t>
      </w:r>
      <w:r>
        <w:rPr>
          <w:rFonts w:hint="eastAsia" w:ascii="仿宋" w:hAnsi="仿宋" w:eastAsia="仿宋" w:cs="仿宋"/>
          <w:b/>
          <w:bCs/>
          <w:sz w:val="40"/>
          <w:szCs w:val="40"/>
          <w:lang w:val="en-US" w:eastAsia="zh-CN"/>
        </w:rPr>
        <w:t xml:space="preserve">  </w:t>
      </w:r>
      <w:r>
        <w:rPr>
          <w:rFonts w:hint="eastAsia" w:ascii="仿宋" w:hAnsi="仿宋" w:eastAsia="仿宋" w:cs="仿宋"/>
          <w:b/>
          <w:bCs/>
          <w:sz w:val="40"/>
          <w:szCs w:val="40"/>
        </w:rPr>
        <w:t>请</w:t>
      </w:r>
    </w:p>
    <w:p>
      <w:pPr>
        <w:spacing w:line="640" w:lineRule="exact"/>
        <w:jc w:val="center"/>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南</w:t>
      </w:r>
      <w:r>
        <w:rPr>
          <w:rFonts w:hint="eastAsia" w:ascii="仿宋" w:hAnsi="仿宋" w:eastAsia="仿宋" w:cs="仿宋"/>
          <w:sz w:val="28"/>
          <w:szCs w:val="28"/>
        </w:rPr>
        <w:t>县人民政府：</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rPr>
      </w:pPr>
      <w:r>
        <w:rPr>
          <w:rFonts w:hint="eastAsia" w:ascii="仿宋" w:hAnsi="仿宋" w:eastAsia="仿宋" w:cs="仿宋"/>
          <w:color w:val="auto"/>
          <w:sz w:val="28"/>
          <w:szCs w:val="28"/>
          <w:lang w:val="en-US" w:eastAsia="zh-CN"/>
        </w:rPr>
        <w:t>总序号</w:t>
      </w:r>
      <w:r>
        <w:rPr>
          <w:rFonts w:hint="eastAsia" w:ascii="仿宋" w:hAnsi="仿宋" w:cs="仿宋"/>
          <w:color w:val="auto"/>
          <w:sz w:val="28"/>
          <w:szCs w:val="28"/>
          <w:lang w:val="en-US" w:eastAsia="zh-CN"/>
        </w:rPr>
        <w:t>607</w:t>
      </w:r>
      <w:r>
        <w:rPr>
          <w:rFonts w:hint="eastAsia" w:ascii="仿宋" w:hAnsi="仿宋" w:eastAsia="仿宋" w:cs="仿宋"/>
          <w:color w:val="auto"/>
          <w:sz w:val="28"/>
          <w:szCs w:val="28"/>
        </w:rPr>
        <w:t>、分序号</w:t>
      </w:r>
      <w:r>
        <w:rPr>
          <w:rFonts w:hint="eastAsia" w:ascii="仿宋" w:hAnsi="仿宋" w:cs="仿宋"/>
          <w:color w:val="auto"/>
          <w:sz w:val="28"/>
          <w:szCs w:val="28"/>
          <w:lang w:val="en-US" w:eastAsia="zh-CN"/>
        </w:rPr>
        <w:t>69</w:t>
      </w:r>
      <w:r>
        <w:rPr>
          <w:rFonts w:hint="eastAsia" w:ascii="仿宋" w:hAnsi="仿宋" w:eastAsia="仿宋" w:cs="仿宋"/>
          <w:color w:val="auto"/>
          <w:sz w:val="28"/>
          <w:szCs w:val="28"/>
        </w:rPr>
        <w:t>的</w:t>
      </w:r>
      <w:r>
        <w:rPr>
          <w:rFonts w:hint="eastAsia" w:ascii="仿宋" w:hAnsi="仿宋" w:eastAsia="仿宋" w:cs="仿宋"/>
          <w:color w:val="auto"/>
          <w:sz w:val="28"/>
          <w:szCs w:val="28"/>
          <w:lang w:val="en-US" w:eastAsia="zh-CN"/>
        </w:rPr>
        <w:t>南县茅草街镇同福水厂地下水</w:t>
      </w:r>
      <w:r>
        <w:rPr>
          <w:rFonts w:hint="eastAsia" w:ascii="仿宋" w:hAnsi="仿宋" w:eastAsia="仿宋" w:cs="仿宋"/>
          <w:color w:val="auto"/>
          <w:sz w:val="28"/>
          <w:szCs w:val="28"/>
        </w:rPr>
        <w:t>饮用水水源保护区</w:t>
      </w:r>
      <w:r>
        <w:rPr>
          <w:rFonts w:hint="eastAsia" w:ascii="仿宋" w:hAnsi="仿宋" w:eastAsia="仿宋" w:cs="仿宋"/>
          <w:sz w:val="28"/>
          <w:szCs w:val="28"/>
        </w:rPr>
        <w:t>“一级保护区</w:t>
      </w:r>
      <w:r>
        <w:rPr>
          <w:rFonts w:hint="eastAsia" w:ascii="仿宋" w:hAnsi="仿宋" w:eastAsia="仿宋" w:cs="仿宋"/>
          <w:sz w:val="28"/>
          <w:szCs w:val="28"/>
          <w:lang w:eastAsia="zh-CN"/>
        </w:rPr>
        <w:t>界标标牌</w:t>
      </w:r>
      <w:r>
        <w:rPr>
          <w:rFonts w:hint="eastAsia" w:ascii="仿宋" w:hAnsi="仿宋" w:eastAsia="仿宋" w:cs="仿宋"/>
          <w:sz w:val="28"/>
          <w:szCs w:val="28"/>
          <w:lang w:val="en-US" w:eastAsia="zh-CN"/>
        </w:rPr>
        <w:t>”和“隔离防护网不完善”的</w:t>
      </w:r>
      <w:r>
        <w:rPr>
          <w:rFonts w:hint="eastAsia" w:ascii="仿宋" w:hAnsi="仿宋" w:eastAsia="仿宋" w:cs="仿宋"/>
          <w:sz w:val="28"/>
          <w:szCs w:val="28"/>
        </w:rPr>
        <w:t>问题由我乡镇承担整治任务，现已完成整治，特申请验收。</w:t>
      </w:r>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附</w:t>
      </w:r>
      <w:r>
        <w:rPr>
          <w:rFonts w:hint="eastAsia" w:ascii="仿宋" w:hAnsi="仿宋" w:eastAsia="仿宋" w:cs="仿宋"/>
          <w:sz w:val="28"/>
          <w:szCs w:val="28"/>
          <w:lang w:val="en-US" w:eastAsia="zh-CN"/>
        </w:rPr>
        <w:t>件</w:t>
      </w:r>
      <w:r>
        <w:rPr>
          <w:rFonts w:hint="eastAsia" w:ascii="仿宋" w:hAnsi="仿宋" w:eastAsia="仿宋" w:cs="仿宋"/>
          <w:sz w:val="28"/>
          <w:szCs w:val="28"/>
        </w:rPr>
        <w:t>：</w:t>
      </w:r>
      <w:r>
        <w:rPr>
          <w:rFonts w:hint="eastAsia" w:ascii="仿宋" w:hAnsi="仿宋" w:eastAsia="仿宋" w:cs="仿宋"/>
          <w:sz w:val="28"/>
          <w:szCs w:val="28"/>
          <w:lang w:val="en-US" w:eastAsia="zh-CN"/>
        </w:rPr>
        <w:t>1.南县茅草街镇同福水厂地下水饮用水水源保护区环境问题专项整治方案</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2.千人以上饮用水水源地环境问题整治完成情况的报告</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3.整治前后现场对比照片</w:t>
      </w:r>
    </w:p>
    <w:p>
      <w:pPr>
        <w:keepNext w:val="0"/>
        <w:keepLines w:val="0"/>
        <w:pageBreakBefore w:val="0"/>
        <w:widowControl/>
        <w:kinsoku/>
        <w:wordWrap/>
        <w:overflowPunct/>
        <w:topLinePunct w:val="0"/>
        <w:autoSpaceDE/>
        <w:autoSpaceDN/>
        <w:bidi w:val="0"/>
        <w:adjustRightInd/>
        <w:snapToGrid/>
        <w:spacing w:line="560" w:lineRule="exact"/>
        <w:ind w:right="160" w:firstLine="640"/>
        <w:jc w:val="right"/>
        <w:textAlignment w:val="auto"/>
        <w:rPr>
          <w:rFonts w:hint="eastAsia" w:ascii="仿宋" w:hAnsi="仿宋" w:eastAsia="仿宋" w:cs="仿宋"/>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righ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南县茅草街镇人民政府</w:t>
      </w:r>
    </w:p>
    <w:p>
      <w:pPr>
        <w:keepNext w:val="0"/>
        <w:keepLines w:val="0"/>
        <w:pageBreakBefore w:val="0"/>
        <w:widowControl/>
        <w:kinsoku/>
        <w:wordWrap/>
        <w:overflowPunct/>
        <w:topLinePunct w:val="0"/>
        <w:autoSpaceDE/>
        <w:autoSpaceDN/>
        <w:bidi w:val="0"/>
        <w:adjustRightInd/>
        <w:snapToGrid/>
        <w:spacing w:line="240" w:lineRule="auto"/>
        <w:ind w:right="0" w:firstLine="0" w:firstLineChars="0"/>
        <w:jc w:val="right"/>
        <w:textAlignment w:val="auto"/>
        <w:rPr>
          <w:rFonts w:hint="eastAsia" w:ascii="仿宋" w:hAnsi="仿宋" w:eastAsia="仿宋" w:cs="仿宋"/>
          <w:sz w:val="28"/>
          <w:szCs w:val="28"/>
        </w:rPr>
      </w:pPr>
      <w:r>
        <w:rPr>
          <w:rFonts w:hint="eastAsia" w:ascii="仿宋" w:hAnsi="仿宋" w:eastAsia="仿宋" w:cs="仿宋"/>
          <w:sz w:val="28"/>
          <w:szCs w:val="28"/>
        </w:rPr>
        <w:t>2022年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cs="仿宋"/>
          <w:sz w:val="28"/>
          <w:szCs w:val="28"/>
          <w:lang w:val="en-US" w:eastAsia="zh-CN"/>
        </w:rPr>
        <w:t>20</w:t>
      </w:r>
      <w:r>
        <w:rPr>
          <w:rFonts w:hint="eastAsia" w:ascii="仿宋" w:hAnsi="仿宋" w:eastAsia="仿宋" w:cs="仿宋"/>
          <w:sz w:val="28"/>
          <w:szCs w:val="28"/>
        </w:rPr>
        <w:t>日</w:t>
      </w:r>
    </w:p>
    <w:p>
      <w:pP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br w:type="page"/>
      </w:r>
    </w:p>
    <w:p>
      <w:pPr>
        <w:tabs>
          <w:tab w:val="left" w:pos="5208"/>
        </w:tabs>
        <w:spacing w:line="600" w:lineRule="exact"/>
        <w:ind w:right="-1373" w:rightChars="-429"/>
        <w:jc w:val="center"/>
        <w:rPr>
          <w:rFonts w:hint="eastAsia" w:ascii="仿宋" w:hAnsi="仿宋" w:eastAsia="仿宋" w:cs="仿宋"/>
          <w:b/>
          <w:sz w:val="32"/>
          <w:szCs w:val="32"/>
        </w:rPr>
      </w:pPr>
    </w:p>
    <w:p>
      <w:pPr>
        <w:pStyle w:val="2"/>
        <w:rPr>
          <w:rFonts w:hint="eastAsia" w:ascii="仿宋" w:hAnsi="仿宋" w:eastAsia="仿宋" w:cs="仿宋"/>
        </w:rPr>
      </w:pPr>
    </w:p>
    <w:p>
      <w:pPr>
        <w:spacing w:line="600" w:lineRule="exact"/>
        <w:ind w:right="-1373" w:rightChars="-429"/>
        <w:rPr>
          <w:rFonts w:hint="eastAsia" w:ascii="仿宋" w:hAnsi="仿宋" w:eastAsia="仿宋" w:cs="仿宋"/>
          <w:b/>
          <w:sz w:val="32"/>
          <w:szCs w:val="32"/>
        </w:rPr>
      </w:pPr>
    </w:p>
    <w:p>
      <w:pPr>
        <w:spacing w:line="600" w:lineRule="exact"/>
        <w:ind w:right="-1373" w:rightChars="-429"/>
        <w:rPr>
          <w:rFonts w:hint="eastAsia" w:ascii="仿宋" w:hAnsi="仿宋" w:eastAsia="仿宋" w:cs="仿宋"/>
          <w:b/>
          <w:sz w:val="32"/>
          <w:szCs w:val="32"/>
        </w:rPr>
      </w:pPr>
    </w:p>
    <w:p>
      <w:pPr>
        <w:adjustRightInd w:val="0"/>
        <w:snapToGrid w:val="0"/>
        <w:ind w:right="-1373" w:rightChars="-429"/>
        <w:rPr>
          <w:rFonts w:hint="eastAsia" w:ascii="仿宋" w:hAnsi="仿宋" w:eastAsia="仿宋" w:cs="仿宋"/>
          <w:b/>
          <w:sz w:val="28"/>
          <w:szCs w:val="32"/>
        </w:rPr>
      </w:pPr>
    </w:p>
    <w:p>
      <w:pPr>
        <w:pStyle w:val="2"/>
        <w:rPr>
          <w:rFonts w:hint="eastAsia" w:ascii="仿宋" w:hAnsi="仿宋" w:eastAsia="仿宋" w:cs="仿宋"/>
          <w:b/>
          <w:sz w:val="28"/>
          <w:szCs w:val="32"/>
        </w:rPr>
      </w:pPr>
    </w:p>
    <w:p>
      <w:pPr>
        <w:jc w:val="left"/>
        <w:rPr>
          <w:rFonts w:hint="eastAsia" w:ascii="仿宋" w:hAnsi="仿宋" w:eastAsia="仿宋" w:cs="仿宋"/>
          <w:w w:val="98"/>
          <w:sz w:val="32"/>
          <w:szCs w:val="32"/>
          <w:lang w:eastAsia="zh-CN"/>
        </w:rPr>
      </w:pPr>
    </w:p>
    <w:p>
      <w:pPr>
        <w:wordWrap w:val="0"/>
        <w:adjustRightInd w:val="0"/>
        <w:snapToGrid w:val="0"/>
        <w:textAlignment w:val="center"/>
        <w:rPr>
          <w:rFonts w:hint="eastAsia" w:ascii="仿宋" w:hAnsi="仿宋" w:eastAsia="仿宋" w:cs="仿宋"/>
          <w:w w:val="98"/>
          <w:sz w:val="56"/>
          <w:szCs w:val="28"/>
        </w:rPr>
      </w:pPr>
    </w:p>
    <w:p>
      <w:pPr>
        <w:spacing w:line="640" w:lineRule="exact"/>
        <w:jc w:val="both"/>
        <w:rPr>
          <w:rFonts w:hint="eastAsia" w:ascii="仿宋" w:hAnsi="仿宋" w:eastAsia="仿宋" w:cs="仿宋"/>
          <w:color w:val="FF0000"/>
          <w:sz w:val="96"/>
          <w:szCs w:val="96"/>
          <w:lang w:val="en-US" w:eastAsia="zh-CN"/>
        </w:rPr>
      </w:pPr>
    </w:p>
    <w:p>
      <w:pPr>
        <w:spacing w:line="240" w:lineRule="auto"/>
        <w:ind w:left="0" w:leftChars="0" w:firstLine="0" w:firstLineChars="0"/>
        <w:jc w:val="center"/>
        <w:rPr>
          <w:rFonts w:hint="eastAsia" w:ascii="仿宋" w:hAnsi="仿宋" w:eastAsia="仿宋" w:cs="仿宋"/>
          <w:sz w:val="36"/>
          <w:szCs w:val="36"/>
          <w:lang w:val="en-US" w:eastAsia="zh-CN"/>
        </w:rPr>
      </w:pPr>
    </w:p>
    <w:p>
      <w:pPr>
        <w:spacing w:line="240" w:lineRule="auto"/>
        <w:ind w:left="0" w:leftChars="0"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lang w:val="en-US" w:eastAsia="zh-CN"/>
        </w:rPr>
        <w:t>千</w:t>
      </w:r>
      <w:r>
        <w:rPr>
          <w:rFonts w:hint="eastAsia" w:ascii="仿宋" w:hAnsi="仿宋" w:eastAsia="仿宋" w:cs="仿宋"/>
          <w:b/>
          <w:bCs/>
          <w:sz w:val="36"/>
          <w:szCs w:val="36"/>
        </w:rPr>
        <w:t>人以上饮用水水源地环境问题整治完</w:t>
      </w:r>
      <w:r>
        <w:rPr>
          <w:rFonts w:hint="eastAsia" w:ascii="仿宋" w:hAnsi="仿宋" w:eastAsia="仿宋" w:cs="仿宋"/>
          <w:b/>
          <w:bCs/>
          <w:sz w:val="36"/>
          <w:szCs w:val="36"/>
          <w:lang w:val="en-US" w:eastAsia="zh-CN"/>
        </w:rPr>
        <w:t>成</w:t>
      </w:r>
      <w:r>
        <w:rPr>
          <w:rFonts w:hint="eastAsia" w:ascii="仿宋" w:hAnsi="仿宋" w:eastAsia="仿宋" w:cs="仿宋"/>
          <w:b/>
          <w:bCs/>
          <w:sz w:val="36"/>
          <w:szCs w:val="36"/>
        </w:rPr>
        <w:t>情况的</w:t>
      </w:r>
    </w:p>
    <w:p>
      <w:pPr>
        <w:spacing w:line="240" w:lineRule="auto"/>
        <w:ind w:left="0" w:leftChars="0" w:firstLine="0" w:firstLineChars="0"/>
        <w:jc w:val="center"/>
        <w:rPr>
          <w:rFonts w:hint="eastAsia" w:ascii="仿宋" w:hAnsi="仿宋" w:eastAsia="仿宋" w:cs="仿宋"/>
          <w:b/>
          <w:bCs/>
          <w:sz w:val="32"/>
          <w:szCs w:val="32"/>
        </w:rPr>
      </w:pPr>
      <w:r>
        <w:rPr>
          <w:rFonts w:hint="eastAsia" w:ascii="仿宋" w:hAnsi="仿宋" w:eastAsia="仿宋" w:cs="仿宋"/>
          <w:b/>
          <w:bCs/>
          <w:sz w:val="36"/>
          <w:szCs w:val="36"/>
        </w:rPr>
        <w:t>报</w:t>
      </w:r>
      <w:r>
        <w:rPr>
          <w:rFonts w:hint="eastAsia" w:ascii="仿宋" w:hAnsi="仿宋" w:cs="仿宋"/>
          <w:b/>
          <w:bCs/>
          <w:sz w:val="36"/>
          <w:szCs w:val="36"/>
          <w:lang w:val="en-US" w:eastAsia="zh-CN"/>
        </w:rPr>
        <w:t xml:space="preserve">  </w:t>
      </w:r>
      <w:r>
        <w:rPr>
          <w:rFonts w:hint="eastAsia" w:ascii="仿宋" w:hAnsi="仿宋" w:eastAsia="仿宋" w:cs="仿宋"/>
          <w:b/>
          <w:bCs/>
          <w:sz w:val="36"/>
          <w:szCs w:val="36"/>
        </w:rPr>
        <w:t>告</w:t>
      </w: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南</w:t>
      </w:r>
      <w:r>
        <w:rPr>
          <w:rFonts w:hint="eastAsia" w:ascii="仿宋" w:hAnsi="仿宋" w:eastAsia="仿宋" w:cs="仿宋"/>
          <w:sz w:val="28"/>
          <w:szCs w:val="28"/>
        </w:rPr>
        <w:t>县人民政府：</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val="en-US" w:eastAsia="zh-CN"/>
        </w:rPr>
        <w:t>南</w:t>
      </w:r>
      <w:r>
        <w:rPr>
          <w:rFonts w:hint="eastAsia" w:ascii="仿宋" w:hAnsi="仿宋" w:eastAsia="仿宋" w:cs="仿宋"/>
          <w:sz w:val="28"/>
          <w:szCs w:val="28"/>
        </w:rPr>
        <w:t>县2022年“千人以上”饮用水水源地环境问题专项整治工作方案》的要求，总序号</w:t>
      </w:r>
      <w:r>
        <w:rPr>
          <w:rFonts w:hint="eastAsia" w:ascii="仿宋" w:hAnsi="仿宋" w:cs="仿宋"/>
          <w:sz w:val="28"/>
          <w:szCs w:val="28"/>
          <w:lang w:val="en-US" w:eastAsia="zh-CN"/>
        </w:rPr>
        <w:t>607</w:t>
      </w:r>
      <w:r>
        <w:rPr>
          <w:rFonts w:hint="eastAsia" w:ascii="仿宋" w:hAnsi="仿宋" w:eastAsia="仿宋" w:cs="仿宋"/>
          <w:sz w:val="28"/>
          <w:szCs w:val="28"/>
        </w:rPr>
        <w:t>、分序号</w:t>
      </w:r>
      <w:r>
        <w:rPr>
          <w:rFonts w:hint="eastAsia" w:ascii="仿宋" w:hAnsi="仿宋" w:cs="仿宋"/>
          <w:sz w:val="28"/>
          <w:szCs w:val="28"/>
          <w:lang w:val="en-US" w:eastAsia="zh-CN"/>
        </w:rPr>
        <w:t>69</w:t>
      </w:r>
      <w:r>
        <w:rPr>
          <w:rFonts w:hint="eastAsia" w:ascii="仿宋" w:hAnsi="仿宋" w:eastAsia="仿宋" w:cs="仿宋"/>
          <w:sz w:val="28"/>
          <w:szCs w:val="28"/>
        </w:rPr>
        <w:t>的</w:t>
      </w:r>
      <w:r>
        <w:rPr>
          <w:rFonts w:hint="eastAsia" w:ascii="仿宋" w:hAnsi="仿宋" w:eastAsia="仿宋" w:cs="仿宋"/>
          <w:sz w:val="28"/>
          <w:szCs w:val="28"/>
          <w:lang w:val="en-US" w:eastAsia="zh-CN"/>
        </w:rPr>
        <w:t>南县茅草街镇同福水厂地下水</w:t>
      </w:r>
      <w:r>
        <w:rPr>
          <w:rFonts w:hint="eastAsia" w:ascii="仿宋" w:hAnsi="仿宋" w:eastAsia="仿宋" w:cs="仿宋"/>
          <w:sz w:val="28"/>
          <w:szCs w:val="28"/>
        </w:rPr>
        <w:t>饮用水水源保护区“一级保护区</w:t>
      </w:r>
      <w:r>
        <w:rPr>
          <w:rFonts w:hint="eastAsia" w:ascii="仿宋" w:hAnsi="仿宋" w:eastAsia="仿宋" w:cs="仿宋"/>
          <w:sz w:val="28"/>
          <w:szCs w:val="28"/>
          <w:lang w:eastAsia="zh-CN"/>
        </w:rPr>
        <w:t>界标标牌</w:t>
      </w:r>
      <w:r>
        <w:rPr>
          <w:rFonts w:hint="eastAsia" w:ascii="仿宋" w:hAnsi="仿宋" w:eastAsia="仿宋" w:cs="仿宋"/>
          <w:sz w:val="28"/>
          <w:szCs w:val="28"/>
          <w:lang w:val="en-US" w:eastAsia="zh-CN"/>
        </w:rPr>
        <w:t>”和“隔离防护网不完善”</w:t>
      </w:r>
      <w:r>
        <w:rPr>
          <w:rFonts w:hint="eastAsia" w:ascii="仿宋" w:hAnsi="仿宋" w:eastAsia="仿宋" w:cs="仿宋"/>
          <w:sz w:val="28"/>
          <w:szCs w:val="28"/>
        </w:rPr>
        <w:t>的问题由我乡镇承担整治任务，已完成整治，现将整治情况报告如下：</w:t>
      </w:r>
    </w:p>
    <w:p>
      <w:pPr>
        <w:keepNext w:val="0"/>
        <w:keepLines w:val="0"/>
        <w:pageBreakBefore w:val="0"/>
        <w:widowControl/>
        <w:numPr>
          <w:ilvl w:val="0"/>
          <w:numId w:val="4"/>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基本情况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南县茅草街镇同福水厂地下水饮用水水源保护区是南县茅草街镇同福水厂的饮用水水源地，位于</w:t>
      </w:r>
      <w:r>
        <w:rPr>
          <w:rFonts w:hint="eastAsia" w:ascii="仿宋" w:hAnsi="仿宋" w:cs="仿宋"/>
          <w:sz w:val="28"/>
          <w:szCs w:val="28"/>
          <w:lang w:val="en-US" w:eastAsia="zh-CN"/>
        </w:rPr>
        <w:t>茅草街</w:t>
      </w:r>
      <w:r>
        <w:rPr>
          <w:rFonts w:hint="eastAsia" w:ascii="仿宋" w:hAnsi="仿宋" w:eastAsia="仿宋" w:cs="仿宋"/>
          <w:sz w:val="28"/>
          <w:szCs w:val="28"/>
          <w:lang w:val="en-US" w:eastAsia="zh-CN"/>
        </w:rPr>
        <w:t>镇福兴村境内，以地下水为水源。周边无工业企业，工程主要由取水工程</w:t>
      </w:r>
      <w:r>
        <w:rPr>
          <w:rFonts w:hint="eastAsia" w:ascii="仿宋" w:hAnsi="仿宋" w:eastAsia="仿宋" w:cs="仿宋"/>
          <w:sz w:val="28"/>
          <w:szCs w:val="28"/>
        </w:rPr>
        <w:t>、</w:t>
      </w:r>
      <w:r>
        <w:rPr>
          <w:rFonts w:hint="eastAsia" w:ascii="仿宋" w:hAnsi="仿宋" w:eastAsia="仿宋" w:cs="仿宋"/>
          <w:sz w:val="28"/>
          <w:szCs w:val="28"/>
          <w:lang w:val="en-US" w:eastAsia="zh-CN"/>
        </w:rPr>
        <w:t>输水工程</w:t>
      </w:r>
      <w:r>
        <w:rPr>
          <w:rFonts w:hint="eastAsia" w:ascii="仿宋" w:hAnsi="仿宋" w:eastAsia="仿宋" w:cs="仿宋"/>
          <w:sz w:val="28"/>
          <w:szCs w:val="28"/>
        </w:rPr>
        <w:t>、</w:t>
      </w:r>
      <w:r>
        <w:rPr>
          <w:rFonts w:hint="eastAsia" w:ascii="仿宋" w:hAnsi="仿宋" w:eastAsia="仿宋" w:cs="仿宋"/>
          <w:sz w:val="28"/>
          <w:szCs w:val="28"/>
          <w:lang w:val="en-US" w:eastAsia="zh-CN"/>
        </w:rPr>
        <w:t>净水工程</w:t>
      </w:r>
      <w:r>
        <w:rPr>
          <w:rFonts w:hint="eastAsia" w:ascii="仿宋" w:hAnsi="仿宋" w:eastAsia="仿宋" w:cs="仿宋"/>
          <w:sz w:val="28"/>
          <w:szCs w:val="28"/>
        </w:rPr>
        <w:t>、</w:t>
      </w:r>
      <w:r>
        <w:rPr>
          <w:rFonts w:hint="eastAsia" w:ascii="仿宋" w:hAnsi="仿宋" w:eastAsia="仿宋" w:cs="仿宋"/>
          <w:sz w:val="28"/>
          <w:szCs w:val="28"/>
          <w:lang w:val="en-US" w:eastAsia="zh-CN"/>
        </w:rPr>
        <w:t>陪水工程</w:t>
      </w:r>
      <w:r>
        <w:rPr>
          <w:rFonts w:hint="eastAsia" w:ascii="仿宋" w:hAnsi="仿宋" w:eastAsia="仿宋" w:cs="仿宋"/>
          <w:sz w:val="28"/>
          <w:szCs w:val="28"/>
        </w:rPr>
        <w:t>、</w:t>
      </w:r>
      <w:r>
        <w:rPr>
          <w:rFonts w:hint="eastAsia" w:ascii="仿宋" w:hAnsi="仿宋" w:eastAsia="仿宋" w:cs="仿宋"/>
          <w:sz w:val="28"/>
          <w:szCs w:val="28"/>
          <w:lang w:val="en-US" w:eastAsia="zh-CN"/>
        </w:rPr>
        <w:t>送水泵房</w:t>
      </w:r>
      <w:r>
        <w:rPr>
          <w:rFonts w:hint="eastAsia" w:ascii="仿宋" w:hAnsi="仿宋" w:eastAsia="仿宋" w:cs="仿宋"/>
          <w:sz w:val="28"/>
          <w:szCs w:val="28"/>
        </w:rPr>
        <w:t>、</w:t>
      </w:r>
      <w:r>
        <w:rPr>
          <w:rFonts w:hint="eastAsia" w:ascii="仿宋" w:hAnsi="仿宋" w:eastAsia="仿宋" w:cs="仿宋"/>
          <w:sz w:val="28"/>
          <w:szCs w:val="28"/>
          <w:lang w:val="en-US" w:eastAsia="zh-CN"/>
        </w:rPr>
        <w:t>消毒设施组成。</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二、整治措施</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为认真落实整改要求，</w:t>
      </w:r>
      <w:r>
        <w:rPr>
          <w:rFonts w:hint="eastAsia" w:ascii="仿宋" w:hAnsi="仿宋" w:eastAsia="仿宋" w:cs="仿宋"/>
          <w:sz w:val="28"/>
          <w:szCs w:val="28"/>
          <w:lang w:val="en-US" w:eastAsia="zh-CN"/>
        </w:rPr>
        <w:t>南县茅草街镇</w:t>
      </w:r>
      <w:r>
        <w:rPr>
          <w:rFonts w:hint="eastAsia" w:ascii="仿宋" w:hAnsi="仿宋" w:eastAsia="仿宋" w:cs="仿宋"/>
          <w:sz w:val="28"/>
          <w:szCs w:val="28"/>
        </w:rPr>
        <w:t>人民政府成立了专项整治工作领导小组，制定了专项整治方案，对</w:t>
      </w:r>
      <w:r>
        <w:rPr>
          <w:rFonts w:hint="eastAsia" w:ascii="仿宋" w:hAnsi="仿宋" w:eastAsia="仿宋" w:cs="仿宋"/>
          <w:sz w:val="28"/>
          <w:szCs w:val="28"/>
          <w:lang w:val="en-US" w:eastAsia="zh-CN"/>
        </w:rPr>
        <w:t>南县茅草街镇同福水厂地下水</w:t>
      </w:r>
      <w:r>
        <w:rPr>
          <w:rFonts w:hint="eastAsia" w:ascii="仿宋" w:hAnsi="仿宋" w:eastAsia="仿宋" w:cs="仿宋"/>
          <w:sz w:val="28"/>
          <w:szCs w:val="28"/>
        </w:rPr>
        <w:t>饮用水水源保护区按照技术规范的要求</w:t>
      </w:r>
      <w:r>
        <w:rPr>
          <w:rFonts w:hint="eastAsia" w:ascii="仿宋" w:hAnsi="仿宋" w:eastAsia="仿宋" w:cs="仿宋"/>
          <w:sz w:val="28"/>
          <w:szCs w:val="28"/>
          <w:lang w:val="en-US" w:eastAsia="zh-CN"/>
        </w:rPr>
        <w:t>限期完善保护区内标示、标牌</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对保护区附近居民进行宣传教育，提高附近居民的饮用水水源地保护意识。</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三、完成情况</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已按照技术规范的要求</w:t>
      </w:r>
      <w:r>
        <w:rPr>
          <w:rFonts w:hint="eastAsia" w:ascii="仿宋" w:hAnsi="仿宋" w:eastAsia="仿宋" w:cs="仿宋"/>
          <w:sz w:val="28"/>
          <w:szCs w:val="28"/>
          <w:lang w:val="en-US" w:eastAsia="zh-CN"/>
        </w:rPr>
        <w:t>完善了标示、标牌的设置，设置隔离防护措施防止人员，牲畜进去保护区内对水源造成污染。</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560" w:lineRule="exact"/>
        <w:ind w:firstLine="640" w:firstLineChars="200"/>
        <w:jc w:val="right"/>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240" w:lineRule="auto"/>
        <w:ind w:firstLine="0" w:firstLineChars="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28"/>
          <w:szCs w:val="28"/>
          <w:lang w:val="en-US" w:eastAsia="zh-CN"/>
        </w:rPr>
        <w:t>南县茅草街镇人民政府</w:t>
      </w:r>
    </w:p>
    <w:p>
      <w:pPr>
        <w:keepNext w:val="0"/>
        <w:keepLines w:val="0"/>
        <w:pageBreakBefore w:val="0"/>
        <w:widowControl/>
        <w:kinsoku/>
        <w:overflowPunct/>
        <w:topLinePunct w:val="0"/>
        <w:autoSpaceDE/>
        <w:autoSpaceDN/>
        <w:bidi w:val="0"/>
        <w:spacing w:line="560" w:lineRule="exact"/>
        <w:ind w:firstLine="560" w:firstLineChars="200"/>
        <w:jc w:val="righ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2022年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cs="仿宋"/>
          <w:sz w:val="28"/>
          <w:szCs w:val="28"/>
          <w:lang w:val="en-US" w:eastAsia="zh-CN"/>
        </w:rPr>
        <w:t>20</w:t>
      </w:r>
      <w:r>
        <w:rPr>
          <w:rFonts w:hint="eastAsia" w:ascii="仿宋" w:hAnsi="仿宋" w:eastAsia="仿宋" w:cs="仿宋"/>
          <w:sz w:val="28"/>
          <w:szCs w:val="28"/>
        </w:rPr>
        <w:t>日</w:t>
      </w:r>
    </w:p>
    <w:p>
      <w:pPr>
        <w:pStyle w:val="21"/>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sz w:val="32"/>
          <w:szCs w:val="32"/>
          <w:lang w:val="en-US" w:eastAsia="zh-CN"/>
        </w:rPr>
      </w:pPr>
    </w:p>
    <w:p>
      <w:pPr>
        <w:pStyle w:val="21"/>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lang w:val="en-US" w:eastAsia="zh-CN"/>
        </w:rPr>
      </w:pPr>
    </w:p>
    <w:p>
      <w:pPr>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tabs>
          <w:tab w:val="left" w:pos="5208"/>
        </w:tabs>
        <w:kinsoku/>
        <w:overflowPunct/>
        <w:topLinePunct w:val="0"/>
        <w:autoSpaceDE/>
        <w:autoSpaceDN/>
        <w:bidi w:val="0"/>
        <w:spacing w:line="560" w:lineRule="exact"/>
        <w:ind w:right="-1373" w:rightChars="-429" w:firstLine="643" w:firstLineChars="200"/>
        <w:jc w:val="center"/>
        <w:rPr>
          <w:rFonts w:hint="eastAsia" w:ascii="仿宋" w:hAnsi="仿宋" w:eastAsia="仿宋" w:cs="仿宋"/>
          <w:b/>
          <w:sz w:val="32"/>
          <w:szCs w:val="32"/>
        </w:rPr>
      </w:pPr>
    </w:p>
    <w:p>
      <w:pPr>
        <w:pStyle w:val="2"/>
        <w:keepNext w:val="0"/>
        <w:keepLines w:val="0"/>
        <w:pageBreakBefore w:val="0"/>
        <w:widowControl/>
        <w:kinsoku/>
        <w:overflowPunct/>
        <w:topLinePunct w:val="0"/>
        <w:autoSpaceDE/>
        <w:autoSpaceDN/>
        <w:bidi w:val="0"/>
        <w:spacing w:line="560" w:lineRule="exact"/>
        <w:ind w:firstLine="640" w:firstLineChars="200"/>
        <w:rPr>
          <w:rFonts w:hint="eastAsia" w:ascii="仿宋" w:hAnsi="仿宋" w:eastAsia="仿宋" w:cs="仿宋"/>
          <w:sz w:val="32"/>
          <w:szCs w:val="32"/>
        </w:rPr>
      </w:pPr>
    </w:p>
    <w:p>
      <w:pPr>
        <w:keepNext w:val="0"/>
        <w:keepLines w:val="0"/>
        <w:pageBreakBefore w:val="0"/>
        <w:widowControl/>
        <w:kinsoku/>
        <w:overflowPunct/>
        <w:topLinePunct w:val="0"/>
        <w:autoSpaceDE/>
        <w:autoSpaceDN/>
        <w:bidi w:val="0"/>
        <w:spacing w:line="560" w:lineRule="exact"/>
        <w:ind w:right="-1373" w:rightChars="-429"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spacing w:line="560" w:lineRule="exact"/>
        <w:ind w:right="-1373" w:rightChars="-429"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adjustRightInd w:val="0"/>
        <w:snapToGrid w:val="0"/>
        <w:spacing w:line="560" w:lineRule="exact"/>
        <w:ind w:right="-1373" w:rightChars="-429" w:firstLine="643" w:firstLineChars="200"/>
        <w:rPr>
          <w:rFonts w:hint="eastAsia" w:ascii="仿宋" w:hAnsi="仿宋" w:eastAsia="仿宋" w:cs="仿宋"/>
          <w:b/>
          <w:sz w:val="32"/>
          <w:szCs w:val="32"/>
        </w:rPr>
      </w:pPr>
    </w:p>
    <w:p>
      <w:pPr>
        <w:pStyle w:val="2"/>
        <w:keepNext w:val="0"/>
        <w:keepLines w:val="0"/>
        <w:pageBreakBefore w:val="0"/>
        <w:widowControl/>
        <w:kinsoku/>
        <w:overflowPunct/>
        <w:topLinePunct w:val="0"/>
        <w:autoSpaceDE/>
        <w:autoSpaceDN/>
        <w:bidi w:val="0"/>
        <w:spacing w:line="560" w:lineRule="exact"/>
        <w:ind w:firstLine="643" w:firstLineChars="200"/>
        <w:rPr>
          <w:rFonts w:hint="eastAsia" w:ascii="仿宋" w:hAnsi="仿宋" w:eastAsia="仿宋" w:cs="仿宋"/>
          <w:b/>
          <w:sz w:val="32"/>
          <w:szCs w:val="32"/>
        </w:rPr>
      </w:pPr>
    </w:p>
    <w:p>
      <w:pPr>
        <w:keepNext w:val="0"/>
        <w:keepLines w:val="0"/>
        <w:pageBreakBefore w:val="0"/>
        <w:widowControl/>
        <w:kinsoku/>
        <w:overflowPunct/>
        <w:topLinePunct w:val="0"/>
        <w:autoSpaceDE/>
        <w:autoSpaceDN/>
        <w:bidi w:val="0"/>
        <w:spacing w:line="560" w:lineRule="exact"/>
        <w:ind w:firstLine="626" w:firstLineChars="200"/>
        <w:jc w:val="left"/>
        <w:rPr>
          <w:rFonts w:hint="eastAsia" w:ascii="仿宋" w:hAnsi="仿宋" w:eastAsia="仿宋" w:cs="仿宋"/>
          <w:w w:val="98"/>
          <w:sz w:val="32"/>
          <w:szCs w:val="32"/>
          <w:lang w:eastAsia="zh-CN"/>
        </w:rPr>
      </w:pPr>
    </w:p>
    <w:p>
      <w:pPr>
        <w:keepNext w:val="0"/>
        <w:keepLines w:val="0"/>
        <w:pageBreakBefore w:val="0"/>
        <w:widowControl/>
        <w:kinsoku/>
        <w:wordWrap w:val="0"/>
        <w:overflowPunct/>
        <w:topLinePunct w:val="0"/>
        <w:autoSpaceDE/>
        <w:autoSpaceDN/>
        <w:bidi w:val="0"/>
        <w:adjustRightInd w:val="0"/>
        <w:snapToGrid w:val="0"/>
        <w:spacing w:line="560" w:lineRule="exact"/>
        <w:ind w:firstLine="626" w:firstLineChars="200"/>
        <w:textAlignment w:val="center"/>
        <w:rPr>
          <w:rFonts w:hint="eastAsia" w:ascii="仿宋" w:hAnsi="仿宋" w:eastAsia="仿宋" w:cs="仿宋"/>
          <w:w w:val="98"/>
          <w:sz w:val="32"/>
          <w:szCs w:val="32"/>
        </w:rPr>
      </w:pPr>
    </w:p>
    <w:p>
      <w:pPr>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color w:val="FF0000"/>
          <w:sz w:val="32"/>
          <w:szCs w:val="32"/>
          <w:lang w:val="en-US" w:eastAsia="zh-CN"/>
        </w:rPr>
      </w:pPr>
    </w:p>
    <w:p>
      <w:pPr>
        <w:keepNext w:val="0"/>
        <w:keepLines w:val="0"/>
        <w:pageBreakBefore w:val="0"/>
        <w:widowControl/>
        <w:kinsoku/>
        <w:overflowPunct/>
        <w:topLinePunct w:val="0"/>
        <w:autoSpaceDE/>
        <w:autoSpaceDN/>
        <w:bidi w:val="0"/>
        <w:spacing w:line="560" w:lineRule="exact"/>
        <w:ind w:left="0" w:leftChars="0" w:firstLine="0" w:firstLineChars="0"/>
        <w:jc w:val="center"/>
        <w:rPr>
          <w:rFonts w:hint="eastAsia" w:ascii="仿宋" w:hAnsi="仿宋" w:eastAsia="仿宋" w:cs="仿宋"/>
          <w:b/>
          <w:bCs/>
          <w:sz w:val="44"/>
          <w:szCs w:val="44"/>
        </w:rPr>
      </w:pPr>
      <w:r>
        <w:rPr>
          <w:rFonts w:hint="eastAsia" w:ascii="仿宋" w:hAnsi="仿宋" w:eastAsia="仿宋" w:cs="仿宋"/>
          <w:b/>
          <w:bCs/>
          <w:sz w:val="44"/>
          <w:szCs w:val="44"/>
          <w:lang w:val="en-US" w:eastAsia="zh-CN"/>
        </w:rPr>
        <w:t>南县茅草街镇同福水厂地下水饮用水水源保护区环境问题专项整治方案</w:t>
      </w:r>
    </w:p>
    <w:p>
      <w:pPr>
        <w:pStyle w:val="21"/>
        <w:keepNext w:val="0"/>
        <w:keepLines w:val="0"/>
        <w:pageBreakBefore w:val="0"/>
        <w:widowControl/>
        <w:kinsoku/>
        <w:overflowPunct/>
        <w:topLinePunct w:val="0"/>
        <w:autoSpaceDE/>
        <w:autoSpaceDN/>
        <w:bidi w:val="0"/>
        <w:spacing w:line="560" w:lineRule="exact"/>
        <w:ind w:firstLine="640" w:firstLineChars="200"/>
        <w:jc w:val="both"/>
        <w:rPr>
          <w:rFonts w:hint="eastAsia" w:ascii="仿宋" w:hAnsi="仿宋" w:eastAsia="仿宋" w:cs="仿宋"/>
          <w:sz w:val="32"/>
          <w:szCs w:val="32"/>
          <w:lang w:val="en-US" w:eastAsia="zh-CN"/>
        </w:rPr>
      </w:pPr>
    </w:p>
    <w:p>
      <w:pPr>
        <w:pStyle w:val="21"/>
        <w:keepNext w:val="0"/>
        <w:keepLines w:val="0"/>
        <w:pageBreakBefore w:val="0"/>
        <w:widowControl/>
        <w:kinsoku/>
        <w:overflowPunct/>
        <w:topLinePunct w:val="0"/>
        <w:autoSpaceDE/>
        <w:autoSpaceDN/>
        <w:bidi w:val="0"/>
        <w:spacing w:line="560" w:lineRule="exact"/>
        <w:ind w:right="0" w:rightChars="0" w:firstLine="560" w:firstLineChars="200"/>
        <w:jc w:val="both"/>
        <w:rPr>
          <w:rFonts w:hint="eastAsia" w:ascii="仿宋" w:hAnsi="仿宋" w:eastAsia="仿宋" w:cs="仿宋"/>
          <w:spacing w:val="-4"/>
          <w:sz w:val="28"/>
          <w:szCs w:val="28"/>
          <w:lang w:val="en-US" w:eastAsia="zh-CN"/>
        </w:rPr>
      </w:pPr>
      <w:r>
        <w:rPr>
          <w:rFonts w:hint="eastAsia" w:ascii="仿宋" w:hAnsi="仿宋" w:eastAsia="仿宋" w:cs="仿宋"/>
          <w:sz w:val="28"/>
          <w:szCs w:val="28"/>
          <w:lang w:val="en-US" w:eastAsia="zh-CN"/>
        </w:rPr>
        <w:t>为全面贯彻落实《</w:t>
      </w:r>
      <w:r>
        <w:rPr>
          <w:rFonts w:hint="eastAsia" w:ascii="仿宋" w:hAnsi="仿宋" w:eastAsia="仿宋" w:cs="仿宋"/>
          <w:spacing w:val="-1"/>
          <w:sz w:val="28"/>
          <w:szCs w:val="28"/>
        </w:rPr>
        <w:t>关于开展2022年湖南省农村千人以上饮用水水源地生态环</w:t>
      </w:r>
      <w:r>
        <w:rPr>
          <w:rFonts w:hint="eastAsia" w:ascii="仿宋" w:hAnsi="仿宋" w:eastAsia="仿宋" w:cs="仿宋"/>
          <w:spacing w:val="-4"/>
          <w:sz w:val="28"/>
          <w:szCs w:val="28"/>
        </w:rPr>
        <w:t>境问题专项整治的通知</w:t>
      </w:r>
      <w:r>
        <w:rPr>
          <w:rFonts w:hint="eastAsia" w:ascii="仿宋" w:hAnsi="仿宋" w:eastAsia="仿宋" w:cs="仿宋"/>
          <w:spacing w:val="-4"/>
          <w:sz w:val="28"/>
          <w:szCs w:val="28"/>
          <w:lang w:eastAsia="zh-CN"/>
        </w:rPr>
        <w:t>》</w:t>
      </w:r>
      <w:r>
        <w:rPr>
          <w:rFonts w:hint="eastAsia" w:ascii="仿宋" w:hAnsi="仿宋" w:eastAsia="仿宋" w:cs="仿宋"/>
          <w:spacing w:val="-4"/>
          <w:sz w:val="28"/>
          <w:szCs w:val="28"/>
          <w:lang w:val="en-US" w:eastAsia="zh-CN"/>
        </w:rPr>
        <w:t>文件精神，进一步加强我镇集中式饮水水源地的环境保护工作，切实保障广大群众饮用水安全，结合我镇实际，特制定此方案。</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一、加强组织领导</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根据镇党委、镇政府的要求，成立茅草街镇同福水厂地下水饮用水水源水源保护区环境问题专项整治工作领导小组，名单如下：</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组  长：刘  锋  党委书记</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副组长：徐文超  党委副书记、镇长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彭固良  党委委员、人大主席</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成  员：叶高祥  茅草街镇自然资源办公室主任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成光明  茅草街镇综合服务中心副主任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1632" w:firstLineChars="6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陈  辉   茅草街镇市监所所长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left"/>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        李  轩   茅草街镇综合执法大队队长</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领导小组下设办公室，办公地点设农业综合服务中心，由成光明同志兼任办公室主任，具体负责整治行动协调、指导、督察、考核验收。</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二、整治范围</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南县茅草街镇同福水厂地下水饮用水一级水源保护区院内。</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三、整治进度</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六月底前，全面完成对南县茅草街镇同福水厂地下水饮用水水源保护区环境问题的全面整治。</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四、整治内容及管理</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（一）全面实施整治和管理</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规范设立保护区标志。参照《饮用水水源地保护区标志技术要求》（HJ/T433-2008）,在保护区合理设置界标、警示牌或宣传牌。</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b w:val="0"/>
          <w:bCs w:val="0"/>
          <w:spacing w:val="-4"/>
          <w:sz w:val="28"/>
          <w:szCs w:val="28"/>
          <w:lang w:val="en-US" w:eastAsia="zh-CN"/>
        </w:rPr>
      </w:pPr>
      <w:r>
        <w:rPr>
          <w:rFonts w:hint="eastAsia" w:ascii="仿宋" w:hAnsi="仿宋" w:eastAsia="仿宋" w:cs="仿宋"/>
          <w:b w:val="0"/>
          <w:bCs w:val="0"/>
          <w:spacing w:val="-4"/>
          <w:sz w:val="28"/>
          <w:szCs w:val="28"/>
          <w:lang w:val="en-US" w:eastAsia="zh-CN"/>
        </w:rPr>
        <w:t>（二）组织验收销号</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环境问题整治完成后，由自然资源和生态环境办报县人民政府组织相关职能部门现场验收，形成核查报告和结论性意见，符合销号标准的，报县生环办销号备案。</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627" w:firstLineChars="200"/>
        <w:jc w:val="both"/>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五、整改要求</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b w:val="0"/>
          <w:bCs w:val="0"/>
          <w:spacing w:val="-4"/>
          <w:sz w:val="28"/>
          <w:szCs w:val="28"/>
          <w:lang w:val="en-US" w:eastAsia="zh-CN"/>
        </w:rPr>
        <w:t>（一）提高政治站位，提高思想认识。</w:t>
      </w:r>
      <w:r>
        <w:rPr>
          <w:rFonts w:hint="eastAsia" w:ascii="仿宋" w:hAnsi="仿宋" w:eastAsia="仿宋" w:cs="仿宋"/>
          <w:spacing w:val="-4"/>
          <w:sz w:val="28"/>
          <w:szCs w:val="28"/>
          <w:lang w:val="en-US" w:eastAsia="zh-CN"/>
        </w:rPr>
        <w:t>切实提高饮用水水源地环境问题整治的思想认识，各村、各部门要进一步提高政治站位，从增强“四个意识”、坚定“四个自信”，做到“两个维护”和落实以人民为中心发展理念的高度，切实把千人以上饮用水水源地环境问题整治作为重要任务、民生工程来抓。</w:t>
      </w:r>
    </w:p>
    <w:p>
      <w:pPr>
        <w:pStyle w:val="21"/>
        <w:keepNext w:val="0"/>
        <w:keepLines w:val="0"/>
        <w:pageBreakBefore w:val="0"/>
        <w:widowControl/>
        <w:numPr>
          <w:ilvl w:val="0"/>
          <w:numId w:val="0"/>
        </w:numPr>
        <w:kinsoku/>
        <w:overflowPunct/>
        <w:topLinePunct w:val="0"/>
        <w:autoSpaceDE/>
        <w:autoSpaceDN/>
        <w:bidi w:val="0"/>
        <w:spacing w:line="560" w:lineRule="exact"/>
        <w:ind w:right="0" w:rightChars="0" w:firstLine="544" w:firstLineChars="2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（二）加强督查考核，严格责任追究。党建办和领导小组办公室要加强对本方案实施情况的督促检查和考核，考核结果作为年度绩效考核的重要内容。</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w:t>
      </w:r>
    </w:p>
    <w:p>
      <w:pPr>
        <w:pStyle w:val="21"/>
        <w:numPr>
          <w:ilvl w:val="0"/>
          <w:numId w:val="0"/>
        </w:numPr>
        <w:ind w:left="2184" w:right="0" w:rightChars="0" w:hanging="1904" w:hangingChars="700"/>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附件：1.南县茅草街镇</w:t>
      </w:r>
      <w:r>
        <w:rPr>
          <w:rFonts w:hint="eastAsia" w:ascii="仿宋" w:hAnsi="仿宋" w:eastAsia="仿宋" w:cs="仿宋"/>
          <w:spacing w:val="-4"/>
          <w:sz w:val="28"/>
          <w:szCs w:val="28"/>
          <w:lang w:eastAsia="zh-CN"/>
        </w:rPr>
        <w:t>同福</w:t>
      </w:r>
      <w:r>
        <w:rPr>
          <w:rFonts w:hint="eastAsia" w:ascii="仿宋" w:hAnsi="仿宋" w:eastAsia="仿宋" w:cs="仿宋"/>
          <w:spacing w:val="-4"/>
          <w:sz w:val="28"/>
          <w:szCs w:val="28"/>
          <w:lang w:val="en-US" w:eastAsia="zh-CN"/>
        </w:rPr>
        <w:t>水厂地下水饮用水环境问题整治进度表</w:t>
      </w:r>
    </w:p>
    <w:p>
      <w:pPr>
        <w:pStyle w:val="21"/>
        <w:keepNext w:val="0"/>
        <w:keepLines w:val="0"/>
        <w:pageBreakBefore w:val="0"/>
        <w:widowControl/>
        <w:numPr>
          <w:ilvl w:val="0"/>
          <w:numId w:val="0"/>
        </w:numPr>
        <w:kinsoku/>
        <w:wordWrap/>
        <w:overflowPunct/>
        <w:topLinePunct w:val="0"/>
        <w:autoSpaceDE/>
        <w:autoSpaceDN/>
        <w:bidi w:val="0"/>
        <w:adjustRightInd w:val="0"/>
        <w:snapToGrid/>
        <w:spacing w:line="560" w:lineRule="exact"/>
        <w:ind w:left="896" w:leftChars="280" w:right="0" w:rightChars="0" w:firstLine="0" w:firstLineChars="0"/>
        <w:jc w:val="left"/>
        <w:textAlignment w:val="auto"/>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2.2022年湖南省千人以上饮用水水源地生态环境问题整治进度情况统计表</w:t>
      </w:r>
    </w:p>
    <w:p>
      <w:pPr>
        <w:pStyle w:val="21"/>
        <w:numPr>
          <w:ilvl w:val="0"/>
          <w:numId w:val="0"/>
        </w:numPr>
        <w:ind w:right="0" w:rightChars="0"/>
        <w:jc w:val="both"/>
        <w:rPr>
          <w:rFonts w:hint="eastAsia" w:ascii="仿宋" w:hAnsi="仿宋" w:eastAsia="仿宋" w:cs="仿宋"/>
          <w:spacing w:val="-4"/>
          <w:sz w:val="28"/>
          <w:szCs w:val="28"/>
          <w:lang w:val="en-US" w:eastAsia="zh-CN"/>
        </w:rPr>
      </w:pPr>
      <w:r>
        <w:rPr>
          <w:rFonts w:hint="eastAsia" w:ascii="仿宋" w:hAnsi="仿宋" w:eastAsia="仿宋" w:cs="仿宋"/>
          <w:spacing w:val="-4"/>
          <w:sz w:val="32"/>
          <w:szCs w:val="32"/>
          <w:lang w:val="en-US" w:eastAsia="zh-CN"/>
        </w:rPr>
        <w:t xml:space="preserve">   </w:t>
      </w:r>
    </w:p>
    <w:p>
      <w:pPr>
        <w:pStyle w:val="21"/>
        <w:numPr>
          <w:ilvl w:val="0"/>
          <w:numId w:val="0"/>
        </w:numPr>
        <w:ind w:right="0" w:rightChars="0"/>
        <w:jc w:val="both"/>
        <w:rPr>
          <w:rFonts w:hint="eastAsia" w:ascii="仿宋" w:hAnsi="仿宋" w:eastAsia="仿宋" w:cs="仿宋"/>
          <w:spacing w:val="-4"/>
          <w:sz w:val="28"/>
          <w:szCs w:val="28"/>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pacing w:val="-4"/>
          <w:sz w:val="28"/>
          <w:szCs w:val="28"/>
          <w:lang w:val="en-US" w:eastAsia="zh-CN"/>
        </w:rPr>
        <w:t xml:space="preserve">    </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附件1</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w:t>
      </w:r>
    </w:p>
    <w:p>
      <w:pPr>
        <w:pStyle w:val="21"/>
        <w:numPr>
          <w:ilvl w:val="0"/>
          <w:numId w:val="0"/>
        </w:numPr>
        <w:ind w:right="0" w:rightChars="0" w:firstLine="627" w:firstLineChars="200"/>
        <w:jc w:val="center"/>
        <w:rPr>
          <w:rFonts w:hint="eastAsia" w:ascii="仿宋" w:hAnsi="仿宋" w:eastAsia="仿宋" w:cs="仿宋"/>
          <w:b/>
          <w:bCs/>
          <w:spacing w:val="-4"/>
          <w:sz w:val="32"/>
          <w:szCs w:val="32"/>
          <w:lang w:val="en-US" w:eastAsia="zh-CN"/>
        </w:rPr>
      </w:pPr>
      <w:r>
        <w:rPr>
          <w:rFonts w:hint="eastAsia" w:ascii="仿宋" w:hAnsi="仿宋" w:eastAsia="仿宋" w:cs="仿宋"/>
          <w:b/>
          <w:bCs/>
          <w:spacing w:val="-4"/>
          <w:sz w:val="32"/>
          <w:szCs w:val="32"/>
          <w:lang w:val="en-US" w:eastAsia="zh-CN"/>
        </w:rPr>
        <w:t>南县茅草街镇</w:t>
      </w:r>
      <w:r>
        <w:rPr>
          <w:rFonts w:hint="eastAsia" w:ascii="仿宋" w:hAnsi="仿宋" w:eastAsia="仿宋" w:cs="仿宋"/>
          <w:b/>
          <w:bCs/>
          <w:spacing w:val="-4"/>
          <w:sz w:val="32"/>
          <w:szCs w:val="32"/>
          <w:lang w:eastAsia="zh-CN"/>
        </w:rPr>
        <w:t>同福</w:t>
      </w:r>
      <w:r>
        <w:rPr>
          <w:rFonts w:hint="eastAsia" w:ascii="仿宋" w:hAnsi="仿宋" w:eastAsia="仿宋" w:cs="仿宋"/>
          <w:b/>
          <w:bCs/>
          <w:spacing w:val="-4"/>
          <w:sz w:val="32"/>
          <w:szCs w:val="32"/>
          <w:lang w:val="en-US" w:eastAsia="zh-CN"/>
        </w:rPr>
        <w:t>水厂地下水饮用水环境问题</w:t>
      </w:r>
    </w:p>
    <w:p>
      <w:pPr>
        <w:pStyle w:val="21"/>
        <w:numPr>
          <w:ilvl w:val="0"/>
          <w:numId w:val="0"/>
        </w:numPr>
        <w:ind w:right="0" w:rightChars="0" w:firstLine="627" w:firstLineChars="200"/>
        <w:jc w:val="center"/>
        <w:rPr>
          <w:rFonts w:hint="eastAsia" w:ascii="仿宋" w:hAnsi="仿宋" w:eastAsia="仿宋" w:cs="仿宋"/>
          <w:b/>
          <w:bCs/>
          <w:spacing w:val="-4"/>
          <w:sz w:val="32"/>
          <w:szCs w:val="32"/>
          <w:vertAlign w:val="baseline"/>
          <w:lang w:val="en-US" w:eastAsia="zh-CN"/>
        </w:rPr>
      </w:pPr>
      <w:r>
        <w:rPr>
          <w:rFonts w:hint="eastAsia" w:ascii="仿宋" w:hAnsi="仿宋" w:eastAsia="仿宋" w:cs="仿宋"/>
          <w:b/>
          <w:bCs/>
          <w:spacing w:val="-4"/>
          <w:sz w:val="32"/>
          <w:szCs w:val="32"/>
          <w:lang w:val="en-US" w:eastAsia="zh-CN"/>
        </w:rPr>
        <w:t>整治进度表</w:t>
      </w:r>
    </w:p>
    <w:p>
      <w:pPr>
        <w:pStyle w:val="21"/>
        <w:numPr>
          <w:ilvl w:val="0"/>
          <w:numId w:val="0"/>
        </w:numPr>
        <w:ind w:right="0" w:rightChars="0"/>
        <w:jc w:val="both"/>
        <w:rPr>
          <w:rFonts w:hint="eastAsia" w:ascii="仿宋" w:hAnsi="仿宋" w:eastAsia="仿宋" w:cs="仿宋"/>
          <w:spacing w:val="-4"/>
          <w:sz w:val="32"/>
          <w:szCs w:val="32"/>
          <w:lang w:val="en-US" w:eastAsia="zh-CN"/>
        </w:rPr>
      </w:pPr>
    </w:p>
    <w:tbl>
      <w:tblPr>
        <w:tblStyle w:val="11"/>
        <w:tblpPr w:leftFromText="180" w:rightFromText="180" w:vertAnchor="text" w:horzAnchor="page" w:tblpX="1785" w:tblpY="172"/>
        <w:tblOverlap w:val="never"/>
        <w:tblW w:w="8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20"/>
        <w:gridCol w:w="343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pStyle w:val="21"/>
              <w:numPr>
                <w:ilvl w:val="0"/>
                <w:numId w:val="0"/>
              </w:numPr>
              <w:ind w:right="0" w:rightChars="0" w:firstLine="312" w:firstLineChars="10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序号</w:t>
            </w:r>
          </w:p>
        </w:tc>
        <w:tc>
          <w:tcPr>
            <w:tcW w:w="1620"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时间</w:t>
            </w:r>
          </w:p>
        </w:tc>
        <w:tc>
          <w:tcPr>
            <w:tcW w:w="3434"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整治项目</w:t>
            </w:r>
          </w:p>
        </w:tc>
        <w:tc>
          <w:tcPr>
            <w:tcW w:w="2318"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 xml:space="preserve">  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39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1</w:t>
            </w:r>
          </w:p>
        </w:tc>
        <w:tc>
          <w:tcPr>
            <w:tcW w:w="1620" w:type="dxa"/>
            <w:vAlign w:val="center"/>
          </w:tcPr>
          <w:p>
            <w:pPr>
              <w:pStyle w:val="21"/>
              <w:numPr>
                <w:ilvl w:val="0"/>
                <w:numId w:val="0"/>
              </w:numPr>
              <w:ind w:left="0" w:leftChars="0" w:right="0" w:rightChars="0" w:firstLine="0" w:firstLineChars="0"/>
              <w:jc w:val="both"/>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2022.6.1</w:t>
            </w:r>
            <w:r>
              <w:rPr>
                <w:rFonts w:hint="eastAsia" w:ascii="仿宋" w:hAnsi="仿宋" w:cs="仿宋"/>
                <w:spacing w:val="-4"/>
                <w:sz w:val="32"/>
                <w:szCs w:val="32"/>
                <w:vertAlign w:val="baseline"/>
                <w:lang w:val="en-US" w:eastAsia="zh-CN"/>
              </w:rPr>
              <w:t>7</w:t>
            </w:r>
          </w:p>
        </w:tc>
        <w:tc>
          <w:tcPr>
            <w:tcW w:w="3434" w:type="dxa"/>
            <w:vAlign w:val="center"/>
          </w:tcPr>
          <w:p>
            <w:pPr>
              <w:pStyle w:val="21"/>
              <w:numPr>
                <w:ilvl w:val="0"/>
                <w:numId w:val="0"/>
              </w:numPr>
              <w:ind w:left="1280" w:leftChars="0" w:right="0" w:rightChars="0" w:hanging="1280" w:hangingChars="400"/>
              <w:jc w:val="both"/>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z w:val="32"/>
                <w:szCs w:val="32"/>
                <w:lang w:val="en-US" w:eastAsia="zh-CN"/>
              </w:rPr>
              <w:t>完善</w:t>
            </w:r>
            <w:r>
              <w:rPr>
                <w:rFonts w:hint="eastAsia" w:ascii="仿宋" w:hAnsi="仿宋" w:eastAsia="仿宋" w:cs="仿宋"/>
                <w:sz w:val="32"/>
                <w:szCs w:val="32"/>
              </w:rPr>
              <w:t>保护区界标</w:t>
            </w:r>
            <w:r>
              <w:rPr>
                <w:rFonts w:hint="eastAsia" w:ascii="仿宋" w:hAnsi="仿宋" w:eastAsia="仿宋" w:cs="仿宋"/>
                <w:sz w:val="32"/>
                <w:szCs w:val="32"/>
                <w:lang w:val="en-US" w:eastAsia="zh-CN"/>
              </w:rPr>
              <w:t>标牌的设置</w:t>
            </w:r>
          </w:p>
        </w:tc>
        <w:tc>
          <w:tcPr>
            <w:tcW w:w="231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茅草街镇</w:t>
            </w:r>
          </w:p>
          <w:p>
            <w:pPr>
              <w:pStyle w:val="21"/>
              <w:numPr>
                <w:ilvl w:val="0"/>
                <w:numId w:val="0"/>
              </w:numPr>
              <w:ind w:left="0" w:leftChars="0" w:right="0" w:rightChars="0" w:firstLine="0" w:firstLineChars="0"/>
              <w:jc w:val="center"/>
              <w:rPr>
                <w:rFonts w:hint="eastAsia" w:ascii="仿宋" w:hAnsi="仿宋" w:eastAsia="仿宋" w:cs="仿宋"/>
                <w:spacing w:val="-4"/>
                <w:kern w:val="2"/>
                <w:sz w:val="32"/>
                <w:szCs w:val="32"/>
                <w:vertAlign w:val="baseline"/>
                <w:lang w:val="en-US" w:eastAsia="zh-CN" w:bidi="ar-SA"/>
              </w:rPr>
            </w:pPr>
            <w:r>
              <w:rPr>
                <w:rFonts w:hint="eastAsia" w:ascii="仿宋" w:hAnsi="仿宋" w:eastAsia="仿宋" w:cs="仿宋"/>
                <w:spacing w:val="-4"/>
                <w:sz w:val="32"/>
                <w:szCs w:val="32"/>
                <w:vertAlign w:val="baseline"/>
                <w:lang w:val="en-US" w:eastAsia="zh-CN"/>
              </w:rPr>
              <w:t>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pPr>
              <w:pStyle w:val="21"/>
              <w:numPr>
                <w:ilvl w:val="0"/>
                <w:numId w:val="0"/>
              </w:numPr>
              <w:ind w:right="0" w:right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2</w:t>
            </w:r>
          </w:p>
        </w:tc>
        <w:tc>
          <w:tcPr>
            <w:tcW w:w="1620" w:type="dxa"/>
            <w:vAlign w:val="center"/>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2022.6.17</w:t>
            </w:r>
          </w:p>
        </w:tc>
        <w:tc>
          <w:tcPr>
            <w:tcW w:w="3434" w:type="dxa"/>
            <w:vAlign w:val="center"/>
          </w:tcPr>
          <w:p>
            <w:pPr>
              <w:pStyle w:val="21"/>
              <w:numPr>
                <w:ilvl w:val="0"/>
                <w:numId w:val="0"/>
              </w:numPr>
              <w:ind w:left="1280" w:right="0" w:rightChars="0" w:hanging="1280" w:hangingChars="40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z w:val="32"/>
                <w:szCs w:val="32"/>
                <w:lang w:val="en-US" w:eastAsia="zh-CN"/>
              </w:rPr>
              <w:t>完善</w:t>
            </w:r>
            <w:r>
              <w:rPr>
                <w:rFonts w:hint="eastAsia" w:ascii="仿宋" w:hAnsi="仿宋" w:eastAsia="仿宋" w:cs="仿宋"/>
                <w:sz w:val="32"/>
                <w:szCs w:val="32"/>
                <w:lang w:eastAsia="zh-CN"/>
              </w:rPr>
              <w:t>隔离防护网</w:t>
            </w:r>
            <w:r>
              <w:rPr>
                <w:rFonts w:hint="eastAsia" w:ascii="仿宋" w:hAnsi="仿宋" w:eastAsia="仿宋" w:cs="仿宋"/>
                <w:sz w:val="32"/>
                <w:szCs w:val="32"/>
                <w:lang w:val="en-US" w:eastAsia="zh-CN"/>
              </w:rPr>
              <w:t>的设置</w:t>
            </w:r>
          </w:p>
        </w:tc>
        <w:tc>
          <w:tcPr>
            <w:tcW w:w="2318" w:type="dxa"/>
            <w:vAlign w:val="center"/>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茅草街镇</w:t>
            </w:r>
          </w:p>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vertAlign w:val="baseline"/>
                <w:lang w:val="en-US" w:eastAsia="zh-CN"/>
              </w:rPr>
              <w:t>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398" w:type="dxa"/>
          </w:tcPr>
          <w:p>
            <w:pPr>
              <w:pStyle w:val="21"/>
              <w:numPr>
                <w:ilvl w:val="0"/>
                <w:numId w:val="0"/>
              </w:numPr>
              <w:ind w:right="0" w:rightChars="0"/>
              <w:jc w:val="center"/>
              <w:rPr>
                <w:rFonts w:hint="eastAsia" w:ascii="仿宋" w:hAnsi="仿宋" w:eastAsia="仿宋" w:cs="仿宋"/>
                <w:spacing w:val="-4"/>
                <w:sz w:val="32"/>
                <w:szCs w:val="32"/>
                <w:vertAlign w:val="baseline"/>
                <w:lang w:val="en-US" w:eastAsia="zh-CN"/>
              </w:rPr>
            </w:pPr>
          </w:p>
        </w:tc>
        <w:tc>
          <w:tcPr>
            <w:tcW w:w="1620" w:type="dxa"/>
          </w:tcPr>
          <w:p>
            <w:pPr>
              <w:pStyle w:val="21"/>
              <w:numPr>
                <w:ilvl w:val="0"/>
                <w:numId w:val="0"/>
              </w:numPr>
              <w:ind w:right="0" w:rightChars="0"/>
              <w:jc w:val="both"/>
              <w:rPr>
                <w:rFonts w:hint="eastAsia" w:ascii="仿宋" w:hAnsi="仿宋" w:eastAsia="仿宋" w:cs="仿宋"/>
                <w:spacing w:val="-4"/>
                <w:sz w:val="32"/>
                <w:szCs w:val="32"/>
                <w:vertAlign w:val="baseline"/>
                <w:lang w:val="en-US" w:eastAsia="zh-CN"/>
              </w:rPr>
            </w:pPr>
          </w:p>
        </w:tc>
        <w:tc>
          <w:tcPr>
            <w:tcW w:w="3434" w:type="dxa"/>
          </w:tcPr>
          <w:p>
            <w:pPr>
              <w:pStyle w:val="21"/>
              <w:numPr>
                <w:ilvl w:val="0"/>
                <w:numId w:val="0"/>
              </w:numPr>
              <w:ind w:left="640" w:right="0" w:rightChars="0" w:hanging="640" w:hangingChars="200"/>
              <w:jc w:val="both"/>
              <w:rPr>
                <w:rFonts w:hint="eastAsia" w:ascii="仿宋" w:hAnsi="仿宋" w:eastAsia="仿宋" w:cs="仿宋"/>
                <w:sz w:val="32"/>
                <w:szCs w:val="32"/>
                <w:lang w:val="en-US" w:eastAsia="zh-CN"/>
              </w:rPr>
            </w:pPr>
          </w:p>
        </w:tc>
        <w:tc>
          <w:tcPr>
            <w:tcW w:w="2318" w:type="dxa"/>
          </w:tcPr>
          <w:p>
            <w:pPr>
              <w:pStyle w:val="21"/>
              <w:numPr>
                <w:ilvl w:val="0"/>
                <w:numId w:val="0"/>
              </w:numPr>
              <w:ind w:left="0" w:leftChars="0" w:right="0" w:rightChars="0" w:firstLine="0" w:firstLineChars="0"/>
              <w:jc w:val="center"/>
              <w:rPr>
                <w:rFonts w:hint="eastAsia" w:ascii="仿宋" w:hAnsi="仿宋" w:eastAsia="仿宋" w:cs="仿宋"/>
                <w:spacing w:val="-4"/>
                <w:sz w:val="32"/>
                <w:szCs w:val="32"/>
                <w:vertAlign w:val="baseline"/>
                <w:lang w:val="en-US" w:eastAsia="zh-CN"/>
              </w:rPr>
            </w:pPr>
          </w:p>
        </w:tc>
      </w:tr>
    </w:tbl>
    <w:p>
      <w:pPr>
        <w:pStyle w:val="21"/>
        <w:numPr>
          <w:ilvl w:val="0"/>
          <w:numId w:val="0"/>
        </w:numPr>
        <w:ind w:right="0" w:rightChars="0"/>
        <w:jc w:val="both"/>
        <w:rPr>
          <w:rFonts w:hint="eastAsia" w:ascii="仿宋" w:hAnsi="仿宋" w:eastAsia="仿宋" w:cs="仿宋"/>
          <w:spacing w:val="-4"/>
          <w:sz w:val="32"/>
          <w:szCs w:val="32"/>
          <w:lang w:val="en-US"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pacing w:val="-4"/>
          <w:sz w:val="32"/>
          <w:szCs w:val="32"/>
          <w:lang w:val="en-US" w:eastAsia="zh-CN"/>
        </w:rPr>
        <w:t xml:space="preserve">       </w:t>
      </w:r>
    </w:p>
    <w:p>
      <w:pPr>
        <w:pStyle w:val="21"/>
        <w:numPr>
          <w:ilvl w:val="0"/>
          <w:numId w:val="0"/>
        </w:numPr>
        <w:ind w:right="0" w:right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 xml:space="preserve">      附件2</w:t>
      </w:r>
    </w:p>
    <w:p>
      <w:pPr>
        <w:pStyle w:val="21"/>
        <w:numPr>
          <w:ilvl w:val="0"/>
          <w:numId w:val="0"/>
        </w:numPr>
        <w:ind w:left="2184" w:right="0" w:rightChars="0" w:hanging="2184" w:hangingChars="700"/>
        <w:jc w:val="both"/>
        <w:rPr>
          <w:rFonts w:hint="eastAsia" w:ascii="仿宋" w:hAnsi="仿宋" w:eastAsia="仿宋" w:cs="仿宋"/>
          <w:spacing w:val="-4"/>
          <w:sz w:val="32"/>
          <w:szCs w:val="32"/>
          <w:vertAlign w:val="baseline"/>
          <w:lang w:val="en-US" w:eastAsia="zh-CN"/>
        </w:rPr>
      </w:pPr>
      <w:r>
        <w:rPr>
          <w:rFonts w:hint="eastAsia" w:ascii="仿宋" w:hAnsi="仿宋" w:eastAsia="仿宋" w:cs="仿宋"/>
          <w:spacing w:val="-4"/>
          <w:sz w:val="32"/>
          <w:szCs w:val="32"/>
          <w:lang w:val="en-US" w:eastAsia="zh-CN"/>
        </w:rPr>
        <w:t xml:space="preserve">             </w:t>
      </w:r>
      <w:r>
        <w:rPr>
          <w:rFonts w:hint="eastAsia" w:ascii="仿宋" w:hAnsi="仿宋" w:eastAsia="仿宋" w:cs="仿宋"/>
          <w:b/>
          <w:bCs/>
          <w:spacing w:val="-4"/>
          <w:sz w:val="32"/>
          <w:szCs w:val="32"/>
          <w:lang w:val="en-US" w:eastAsia="zh-CN"/>
        </w:rPr>
        <w:t xml:space="preserve">2022年湖南省千人以上饮用水水源地生态环境问题整治进度情况统计表  </w:t>
      </w:r>
    </w:p>
    <w:tbl>
      <w:tblPr>
        <w:tblStyle w:val="11"/>
        <w:tblpPr w:leftFromText="180" w:rightFromText="180" w:vertAnchor="text" w:horzAnchor="page" w:tblpX="1431" w:tblpY="795"/>
        <w:tblOverlap w:val="never"/>
        <w:tblW w:w="13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661"/>
        <w:gridCol w:w="1778"/>
        <w:gridCol w:w="719"/>
        <w:gridCol w:w="2046"/>
        <w:gridCol w:w="1525"/>
        <w:gridCol w:w="830"/>
        <w:gridCol w:w="830"/>
        <w:gridCol w:w="830"/>
        <w:gridCol w:w="831"/>
        <w:gridCol w:w="831"/>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47" w:type="dxa"/>
            <w:vAlign w:val="top"/>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序号</w:t>
            </w:r>
          </w:p>
        </w:tc>
        <w:tc>
          <w:tcPr>
            <w:tcW w:w="166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 xml:space="preserve"> </w:t>
            </w:r>
          </w:p>
          <w:p>
            <w:pPr>
              <w:pStyle w:val="21"/>
              <w:numPr>
                <w:ilvl w:val="0"/>
                <w:numId w:val="0"/>
              </w:numPr>
              <w:ind w:right="0" w:rightChars="0" w:firstLine="232" w:firstLineChars="10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所在地</w:t>
            </w:r>
          </w:p>
        </w:tc>
        <w:tc>
          <w:tcPr>
            <w:tcW w:w="1778"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水源地名称</w:t>
            </w:r>
          </w:p>
        </w:tc>
        <w:tc>
          <w:tcPr>
            <w:tcW w:w="719"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类型</w:t>
            </w:r>
          </w:p>
        </w:tc>
        <w:tc>
          <w:tcPr>
            <w:tcW w:w="2046"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保护区类型（一级/二级）</w:t>
            </w:r>
          </w:p>
        </w:tc>
        <w:tc>
          <w:tcPr>
            <w:tcW w:w="1525"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问题类型</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具体情况</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具体整治措施</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计划完成时间</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是否完成整治</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历史遗留问题</w:t>
            </w: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47"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1</w:t>
            </w:r>
          </w:p>
        </w:tc>
        <w:tc>
          <w:tcPr>
            <w:tcW w:w="1661"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南县</w:t>
            </w:r>
          </w:p>
        </w:tc>
        <w:tc>
          <w:tcPr>
            <w:tcW w:w="1778"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茅草街镇</w:t>
            </w:r>
            <w:r>
              <w:rPr>
                <w:rFonts w:hint="eastAsia" w:ascii="仿宋" w:hAnsi="仿宋" w:eastAsia="仿宋" w:cs="仿宋"/>
                <w:spacing w:val="-4"/>
                <w:sz w:val="24"/>
                <w:szCs w:val="24"/>
                <w:vertAlign w:val="baseline"/>
                <w:lang w:eastAsia="zh-CN"/>
              </w:rPr>
              <w:t>同福</w:t>
            </w:r>
            <w:r>
              <w:rPr>
                <w:rFonts w:hint="eastAsia" w:ascii="仿宋" w:hAnsi="仿宋" w:eastAsia="仿宋" w:cs="仿宋"/>
                <w:spacing w:val="-4"/>
                <w:sz w:val="24"/>
                <w:szCs w:val="24"/>
                <w:vertAlign w:val="baseline"/>
                <w:lang w:val="en-US" w:eastAsia="zh-CN"/>
              </w:rPr>
              <w:t>水厂地下水饮水保护区</w:t>
            </w:r>
          </w:p>
        </w:tc>
        <w:tc>
          <w:tcPr>
            <w:tcW w:w="719"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地下水</w:t>
            </w:r>
          </w:p>
        </w:tc>
        <w:tc>
          <w:tcPr>
            <w:tcW w:w="2046"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一级</w:t>
            </w: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1525"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标识标牌</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标识标牌不完善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847"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2</w:t>
            </w:r>
          </w:p>
        </w:tc>
        <w:tc>
          <w:tcPr>
            <w:tcW w:w="1661"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南县</w:t>
            </w:r>
          </w:p>
        </w:tc>
        <w:tc>
          <w:tcPr>
            <w:tcW w:w="1778"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茅草街镇</w:t>
            </w:r>
            <w:r>
              <w:rPr>
                <w:rFonts w:hint="eastAsia" w:ascii="仿宋" w:hAnsi="仿宋" w:eastAsia="仿宋" w:cs="仿宋"/>
                <w:spacing w:val="-4"/>
                <w:sz w:val="24"/>
                <w:szCs w:val="24"/>
                <w:vertAlign w:val="baseline"/>
                <w:lang w:eastAsia="zh-CN"/>
              </w:rPr>
              <w:t>同福</w:t>
            </w:r>
            <w:r>
              <w:rPr>
                <w:rFonts w:hint="eastAsia" w:ascii="仿宋" w:hAnsi="仿宋" w:eastAsia="仿宋" w:cs="仿宋"/>
                <w:spacing w:val="-4"/>
                <w:sz w:val="24"/>
                <w:szCs w:val="24"/>
                <w:vertAlign w:val="baseline"/>
                <w:lang w:val="en-US" w:eastAsia="zh-CN"/>
              </w:rPr>
              <w:t>水厂地下水饮水保护区</w:t>
            </w:r>
          </w:p>
        </w:tc>
        <w:tc>
          <w:tcPr>
            <w:tcW w:w="719"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地下水</w:t>
            </w:r>
          </w:p>
        </w:tc>
        <w:tc>
          <w:tcPr>
            <w:tcW w:w="2046" w:type="dxa"/>
          </w:tcPr>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firstLine="464" w:firstLineChars="20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一级</w:t>
            </w:r>
          </w:p>
        </w:tc>
        <w:tc>
          <w:tcPr>
            <w:tcW w:w="1525" w:type="dxa"/>
          </w:tcPr>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center"/>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标识标牌</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隔离防护网不完 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r>
              <w:rPr>
                <w:rFonts w:hint="eastAsia" w:ascii="仿宋" w:hAnsi="仿宋" w:eastAsia="仿宋" w:cs="仿宋"/>
                <w:spacing w:val="-4"/>
                <w:sz w:val="24"/>
                <w:szCs w:val="24"/>
                <w:vertAlign w:val="baseline"/>
                <w:lang w:val="en-US" w:eastAsia="zh-CN"/>
              </w:rPr>
              <w:t>完善</w:t>
            </w:r>
          </w:p>
        </w:tc>
        <w:tc>
          <w:tcPr>
            <w:tcW w:w="830"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c>
          <w:tcPr>
            <w:tcW w:w="831" w:type="dxa"/>
          </w:tcPr>
          <w:p>
            <w:pPr>
              <w:pStyle w:val="21"/>
              <w:numPr>
                <w:ilvl w:val="0"/>
                <w:numId w:val="0"/>
              </w:numPr>
              <w:ind w:right="0" w:rightChars="0"/>
              <w:jc w:val="both"/>
              <w:rPr>
                <w:rFonts w:hint="eastAsia" w:ascii="仿宋" w:hAnsi="仿宋" w:eastAsia="仿宋" w:cs="仿宋"/>
                <w:spacing w:val="-4"/>
                <w:sz w:val="24"/>
                <w:szCs w:val="24"/>
                <w:vertAlign w:val="baseline"/>
                <w:lang w:val="en-US" w:eastAsia="zh-CN"/>
              </w:rPr>
            </w:pPr>
          </w:p>
        </w:tc>
      </w:tr>
    </w:tbl>
    <w:p>
      <w:pPr>
        <w:pStyle w:val="21"/>
        <w:numPr>
          <w:ilvl w:val="0"/>
          <w:numId w:val="0"/>
        </w:numPr>
        <w:ind w:right="0" w:rightChars="0" w:firstLine="608"/>
        <w:jc w:val="both"/>
        <w:rPr>
          <w:rFonts w:hint="eastAsia" w:ascii="仿宋" w:hAnsi="仿宋" w:eastAsia="仿宋" w:cs="仿宋"/>
          <w:spacing w:val="-4"/>
          <w:sz w:val="32"/>
          <w:szCs w:val="32"/>
          <w:lang w:val="en-US" w:eastAsia="zh-CN"/>
        </w:rPr>
        <w:sectPr>
          <w:pgSz w:w="16838" w:h="11906" w:orient="landscape"/>
          <w:pgMar w:top="1800" w:right="1440" w:bottom="1800" w:left="1440" w:header="851" w:footer="992" w:gutter="0"/>
          <w:cols w:space="720" w:num="1"/>
          <w:docGrid w:type="lines" w:linePitch="312" w:charSpace="0"/>
        </w:sectPr>
      </w:pPr>
    </w:p>
    <w:p>
      <w:pPr>
        <w:pStyle w:val="21"/>
        <w:numPr>
          <w:ilvl w:val="0"/>
          <w:numId w:val="0"/>
        </w:numPr>
        <w:ind w:right="0" w:rightChars="0" w:firstLine="608"/>
        <w:jc w:val="center"/>
        <w:rPr>
          <w:rFonts w:hint="eastAsia" w:ascii="仿宋" w:hAnsi="仿宋" w:eastAsia="仿宋" w:cs="仿宋"/>
          <w:b/>
          <w:bCs/>
          <w:spacing w:val="-4"/>
          <w:sz w:val="36"/>
          <w:szCs w:val="36"/>
          <w:lang w:val="en-US" w:eastAsia="zh-CN"/>
        </w:rPr>
      </w:pPr>
      <w:r>
        <w:rPr>
          <w:rFonts w:hint="eastAsia" w:ascii="仿宋" w:hAnsi="仿宋" w:cs="仿宋"/>
          <w:b/>
          <w:bCs/>
          <w:spacing w:val="-4"/>
          <w:sz w:val="36"/>
          <w:szCs w:val="36"/>
          <w:lang w:val="en-US" w:eastAsia="zh-CN"/>
        </w:rPr>
        <w:t>茅草街</w:t>
      </w:r>
      <w:r>
        <w:rPr>
          <w:rFonts w:hint="eastAsia" w:ascii="仿宋" w:hAnsi="仿宋" w:eastAsia="仿宋" w:cs="仿宋"/>
          <w:b/>
          <w:bCs/>
          <w:spacing w:val="-4"/>
          <w:sz w:val="36"/>
          <w:szCs w:val="36"/>
          <w:lang w:val="en-US" w:eastAsia="zh-CN"/>
        </w:rPr>
        <w:t>镇同</w:t>
      </w:r>
      <w:r>
        <w:rPr>
          <w:rFonts w:hint="eastAsia" w:ascii="仿宋" w:hAnsi="仿宋" w:cs="仿宋"/>
          <w:b/>
          <w:bCs/>
          <w:spacing w:val="-4"/>
          <w:sz w:val="36"/>
          <w:szCs w:val="36"/>
          <w:lang w:val="en-US" w:eastAsia="zh-CN"/>
        </w:rPr>
        <w:t>福</w:t>
      </w:r>
      <w:r>
        <w:rPr>
          <w:rFonts w:hint="eastAsia" w:ascii="仿宋" w:hAnsi="仿宋" w:eastAsia="仿宋" w:cs="仿宋"/>
          <w:b/>
          <w:bCs/>
          <w:spacing w:val="-4"/>
          <w:sz w:val="36"/>
          <w:szCs w:val="36"/>
          <w:lang w:val="en-US" w:eastAsia="zh-CN"/>
        </w:rPr>
        <w:t>水厂地下水饮用水保护区环境问题整治前后对比照片</w:t>
      </w:r>
    </w:p>
    <w:p>
      <w:pPr>
        <w:pStyle w:val="21"/>
        <w:numPr>
          <w:ilvl w:val="0"/>
          <w:numId w:val="0"/>
        </w:numPr>
        <w:ind w:right="0" w:rightChars="0" w:firstLine="608"/>
        <w:jc w:val="left"/>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一．整治前</w:t>
      </w:r>
    </w:p>
    <w:p>
      <w:pPr>
        <w:pStyle w:val="21"/>
        <w:numPr>
          <w:ilvl w:val="0"/>
          <w:numId w:val="0"/>
        </w:numPr>
        <w:ind w:right="0" w:rightChars="0"/>
        <w:jc w:val="center"/>
        <w:rPr>
          <w:rFonts w:hint="eastAsia" w:ascii="仿宋" w:hAnsi="仿宋" w:eastAsia="仿宋" w:cs="仿宋"/>
          <w:spacing w:val="-4"/>
          <w:sz w:val="48"/>
          <w:szCs w:val="48"/>
          <w:lang w:val="en-US" w:eastAsia="zh-CN"/>
        </w:rPr>
      </w:pPr>
      <w:r>
        <w:rPr>
          <w:rFonts w:hint="eastAsia" w:ascii="仿宋" w:hAnsi="仿宋" w:eastAsia="仿宋" w:cs="仿宋"/>
          <w:spacing w:val="-4"/>
          <w:sz w:val="48"/>
          <w:szCs w:val="48"/>
          <w:lang w:val="en-US" w:eastAsia="zh-CN"/>
        </w:rPr>
        <w:drawing>
          <wp:inline distT="0" distB="0" distL="114300" distR="114300">
            <wp:extent cx="5039995" cy="2447925"/>
            <wp:effectExtent l="0" t="0" r="8255" b="9525"/>
            <wp:docPr id="1" name="图片 1" descr="ee37e642a92249fb9f7f034ef85a72b"/>
            <wp:cNvGraphicFramePr/>
            <a:graphic xmlns:a="http://schemas.openxmlformats.org/drawingml/2006/main">
              <a:graphicData uri="http://schemas.openxmlformats.org/drawingml/2006/picture">
                <pic:pic xmlns:pic="http://schemas.openxmlformats.org/drawingml/2006/picture">
                  <pic:nvPicPr>
                    <pic:cNvPr id="1" name="图片 1" descr="ee37e642a92249fb9f7f034ef85a72b"/>
                    <pic:cNvPicPr/>
                  </pic:nvPicPr>
                  <pic:blipFill>
                    <a:blip r:embed="rId6"/>
                    <a:stretch>
                      <a:fillRect/>
                    </a:stretch>
                  </pic:blipFill>
                  <pic:spPr>
                    <a:xfrm>
                      <a:off x="0" y="0"/>
                      <a:ext cx="5039995" cy="2447925"/>
                    </a:xfrm>
                    <a:prstGeom prst="rect">
                      <a:avLst/>
                    </a:prstGeom>
                  </pic:spPr>
                </pic:pic>
              </a:graphicData>
            </a:graphic>
          </wp:inline>
        </w:drawing>
      </w:r>
    </w:p>
    <w:p>
      <w:pPr>
        <w:pStyle w:val="21"/>
        <w:numPr>
          <w:ilvl w:val="0"/>
          <w:numId w:val="0"/>
        </w:numPr>
        <w:ind w:right="0" w:rightChars="0"/>
        <w:jc w:val="center"/>
        <w:rPr>
          <w:rFonts w:hint="eastAsia" w:ascii="仿宋" w:hAnsi="仿宋" w:eastAsia="仿宋" w:cs="仿宋"/>
          <w:spacing w:val="-4"/>
          <w:sz w:val="48"/>
          <w:szCs w:val="48"/>
          <w:lang w:val="en-US" w:eastAsia="zh-CN"/>
        </w:rPr>
      </w:pPr>
      <w:r>
        <w:rPr>
          <w:rFonts w:hint="eastAsia" w:ascii="仿宋" w:hAnsi="仿宋" w:eastAsia="仿宋" w:cs="仿宋"/>
          <w:spacing w:val="-4"/>
          <w:sz w:val="48"/>
          <w:szCs w:val="48"/>
          <w:lang w:val="en-US" w:eastAsia="zh-CN"/>
        </w:rPr>
        <w:drawing>
          <wp:inline distT="0" distB="0" distL="114300" distR="114300">
            <wp:extent cx="5039995" cy="2447925"/>
            <wp:effectExtent l="0" t="0" r="8255" b="9525"/>
            <wp:docPr id="2" name="图片 2" descr="7902c279111d5d24b827657131f3a2d"/>
            <wp:cNvGraphicFramePr/>
            <a:graphic xmlns:a="http://schemas.openxmlformats.org/drawingml/2006/main">
              <a:graphicData uri="http://schemas.openxmlformats.org/drawingml/2006/picture">
                <pic:pic xmlns:pic="http://schemas.openxmlformats.org/drawingml/2006/picture">
                  <pic:nvPicPr>
                    <pic:cNvPr id="2" name="图片 2" descr="7902c279111d5d24b827657131f3a2d"/>
                    <pic:cNvPicPr/>
                  </pic:nvPicPr>
                  <pic:blipFill>
                    <a:blip r:embed="rId7"/>
                    <a:stretch>
                      <a:fillRect/>
                    </a:stretch>
                  </pic:blipFill>
                  <pic:spPr>
                    <a:xfrm>
                      <a:off x="0" y="0"/>
                      <a:ext cx="5039995" cy="2447925"/>
                    </a:xfrm>
                    <a:prstGeom prst="rect">
                      <a:avLst/>
                    </a:prstGeom>
                  </pic:spPr>
                </pic:pic>
              </a:graphicData>
            </a:graphic>
          </wp:inline>
        </w:drawing>
      </w:r>
    </w:p>
    <w:p>
      <w:pPr>
        <w:pStyle w:val="21"/>
        <w:numPr>
          <w:ilvl w:val="0"/>
          <w:numId w:val="0"/>
        </w:numPr>
        <w:ind w:right="0" w:rightChars="0"/>
        <w:jc w:val="center"/>
        <w:rPr>
          <w:rFonts w:hint="eastAsia" w:ascii="仿宋" w:hAnsi="仿宋" w:eastAsia="仿宋" w:cs="仿宋"/>
          <w:spacing w:val="-4"/>
          <w:sz w:val="32"/>
          <w:szCs w:val="32"/>
          <w:lang w:val="en-US" w:eastAsia="zh-CN"/>
        </w:rPr>
      </w:pPr>
      <w:r>
        <w:rPr>
          <w:rFonts w:hint="eastAsia" w:ascii="仿宋" w:hAnsi="仿宋" w:eastAsia="仿宋" w:cs="仿宋"/>
          <w:spacing w:val="-4"/>
          <w:sz w:val="48"/>
          <w:szCs w:val="48"/>
          <w:lang w:val="en-US" w:eastAsia="zh-CN"/>
        </w:rPr>
        <w:drawing>
          <wp:inline distT="0" distB="0" distL="114300" distR="114300">
            <wp:extent cx="5039995" cy="2447925"/>
            <wp:effectExtent l="0" t="0" r="8255" b="9525"/>
            <wp:docPr id="3" name="图片 3" descr="4a65fceb39d25e525fd32b3d1496c0e"/>
            <wp:cNvGraphicFramePr/>
            <a:graphic xmlns:a="http://schemas.openxmlformats.org/drawingml/2006/main">
              <a:graphicData uri="http://schemas.openxmlformats.org/drawingml/2006/picture">
                <pic:pic xmlns:pic="http://schemas.openxmlformats.org/drawingml/2006/picture">
                  <pic:nvPicPr>
                    <pic:cNvPr id="3" name="图片 3" descr="4a65fceb39d25e525fd32b3d1496c0e"/>
                    <pic:cNvPicPr/>
                  </pic:nvPicPr>
                  <pic:blipFill>
                    <a:blip r:embed="rId8"/>
                    <a:stretch>
                      <a:fillRect/>
                    </a:stretch>
                  </pic:blipFill>
                  <pic:spPr>
                    <a:xfrm>
                      <a:off x="0" y="0"/>
                      <a:ext cx="5039995" cy="2447925"/>
                    </a:xfrm>
                    <a:prstGeom prst="rect">
                      <a:avLst/>
                    </a:prstGeom>
                  </pic:spPr>
                </pic:pic>
              </a:graphicData>
            </a:graphic>
          </wp:inline>
        </w:drawing>
      </w:r>
    </w:p>
    <w:p>
      <w:pPr>
        <w:pStyle w:val="21"/>
        <w:numPr>
          <w:ilvl w:val="0"/>
          <w:numId w:val="5"/>
        </w:numPr>
        <w:ind w:left="0" w:leftChars="0" w:right="0" w:rightChars="0" w:firstLine="640" w:firstLineChars="0"/>
        <w:jc w:val="both"/>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t>整治后</w:t>
      </w:r>
    </w:p>
    <w:p>
      <w:pPr>
        <w:pStyle w:val="21"/>
        <w:numPr>
          <w:ilvl w:val="0"/>
          <w:numId w:val="0"/>
        </w:numPr>
        <w:ind w:right="0" w:rightChars="0"/>
        <w:jc w:val="center"/>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drawing>
          <wp:inline distT="0" distB="0" distL="114300" distR="114300">
            <wp:extent cx="5039995" cy="2700020"/>
            <wp:effectExtent l="0" t="0" r="8255" b="5080"/>
            <wp:docPr id="4" name="图片 4" descr="5d9acb6500044eeb2ba6def70d3b004"/>
            <wp:cNvGraphicFramePr/>
            <a:graphic xmlns:a="http://schemas.openxmlformats.org/drawingml/2006/main">
              <a:graphicData uri="http://schemas.openxmlformats.org/drawingml/2006/picture">
                <pic:pic xmlns:pic="http://schemas.openxmlformats.org/drawingml/2006/picture">
                  <pic:nvPicPr>
                    <pic:cNvPr id="4" name="图片 4" descr="5d9acb6500044eeb2ba6def70d3b004"/>
                    <pic:cNvPicPr/>
                  </pic:nvPicPr>
                  <pic:blipFill>
                    <a:blip r:embed="rId9"/>
                    <a:stretch>
                      <a:fillRect/>
                    </a:stretch>
                  </pic:blipFill>
                  <pic:spPr>
                    <a:xfrm>
                      <a:off x="0" y="0"/>
                      <a:ext cx="5039995" cy="2700020"/>
                    </a:xfrm>
                    <a:prstGeom prst="rect">
                      <a:avLst/>
                    </a:prstGeom>
                  </pic:spPr>
                </pic:pic>
              </a:graphicData>
            </a:graphic>
          </wp:inline>
        </w:drawing>
      </w:r>
    </w:p>
    <w:p>
      <w:pPr>
        <w:pStyle w:val="21"/>
        <w:numPr>
          <w:ilvl w:val="0"/>
          <w:numId w:val="0"/>
        </w:numPr>
        <w:ind w:right="0" w:rightChars="0"/>
        <w:jc w:val="center"/>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drawing>
          <wp:inline distT="0" distB="0" distL="114300" distR="114300">
            <wp:extent cx="5039995" cy="2700020"/>
            <wp:effectExtent l="0" t="0" r="8255" b="5080"/>
            <wp:docPr id="5" name="图片 5" descr="f33c4ede55ebf766c95f9de30b8c2db"/>
            <wp:cNvGraphicFramePr/>
            <a:graphic xmlns:a="http://schemas.openxmlformats.org/drawingml/2006/main">
              <a:graphicData uri="http://schemas.openxmlformats.org/drawingml/2006/picture">
                <pic:pic xmlns:pic="http://schemas.openxmlformats.org/drawingml/2006/picture">
                  <pic:nvPicPr>
                    <pic:cNvPr id="5" name="图片 5" descr="f33c4ede55ebf766c95f9de30b8c2db"/>
                    <pic:cNvPicPr/>
                  </pic:nvPicPr>
                  <pic:blipFill>
                    <a:blip r:embed="rId10"/>
                    <a:stretch>
                      <a:fillRect/>
                    </a:stretch>
                  </pic:blipFill>
                  <pic:spPr>
                    <a:xfrm>
                      <a:off x="0" y="0"/>
                      <a:ext cx="5039995" cy="2700020"/>
                    </a:xfrm>
                    <a:prstGeom prst="rect">
                      <a:avLst/>
                    </a:prstGeom>
                  </pic:spPr>
                </pic:pic>
              </a:graphicData>
            </a:graphic>
          </wp:inline>
        </w:drawing>
      </w:r>
    </w:p>
    <w:p>
      <w:pPr>
        <w:pStyle w:val="21"/>
        <w:numPr>
          <w:ilvl w:val="0"/>
          <w:numId w:val="0"/>
        </w:numPr>
        <w:ind w:right="0" w:rightChars="0"/>
        <w:jc w:val="center"/>
        <w:rPr>
          <w:rFonts w:hint="eastAsia" w:ascii="仿宋" w:hAnsi="仿宋" w:eastAsia="仿宋" w:cs="仿宋"/>
          <w:spacing w:val="-4"/>
          <w:sz w:val="32"/>
          <w:szCs w:val="32"/>
          <w:lang w:val="en-US" w:eastAsia="zh-CN"/>
        </w:rPr>
      </w:pPr>
      <w:r>
        <w:rPr>
          <w:rFonts w:hint="eastAsia" w:ascii="仿宋" w:hAnsi="仿宋" w:eastAsia="仿宋" w:cs="仿宋"/>
          <w:spacing w:val="-4"/>
          <w:sz w:val="32"/>
          <w:szCs w:val="32"/>
          <w:lang w:val="en-US" w:eastAsia="zh-CN"/>
        </w:rPr>
        <w:drawing>
          <wp:inline distT="0" distB="0" distL="114300" distR="114300">
            <wp:extent cx="5039995" cy="2700020"/>
            <wp:effectExtent l="0" t="0" r="8255" b="5080"/>
            <wp:docPr id="6" name="图片 6" descr="8c0544ef8d8adcbc998a1648b0fdcbc"/>
            <wp:cNvGraphicFramePr/>
            <a:graphic xmlns:a="http://schemas.openxmlformats.org/drawingml/2006/main">
              <a:graphicData uri="http://schemas.openxmlformats.org/drawingml/2006/picture">
                <pic:pic xmlns:pic="http://schemas.openxmlformats.org/drawingml/2006/picture">
                  <pic:nvPicPr>
                    <pic:cNvPr id="6" name="图片 6" descr="8c0544ef8d8adcbc998a1648b0fdcbc"/>
                    <pic:cNvPicPr/>
                  </pic:nvPicPr>
                  <pic:blipFill>
                    <a:blip r:embed="rId11"/>
                    <a:stretch>
                      <a:fillRect/>
                    </a:stretch>
                  </pic:blipFill>
                  <pic:spPr>
                    <a:xfrm>
                      <a:off x="0" y="0"/>
                      <a:ext cx="5039995" cy="2700020"/>
                    </a:xfrm>
                    <a:prstGeom prst="rect">
                      <a:avLst/>
                    </a:prstGeom>
                  </pic:spPr>
                </pic:pic>
              </a:graphicData>
            </a:graphic>
          </wp:inline>
        </w:drawing>
      </w:r>
    </w:p>
    <w:p>
      <w:pPr>
        <w:pStyle w:val="21"/>
        <w:numPr>
          <w:ilvl w:val="0"/>
          <w:numId w:val="0"/>
        </w:numPr>
        <w:ind w:left="640" w:leftChars="0" w:right="0" w:rightChars="0"/>
        <w:jc w:val="both"/>
        <w:rPr>
          <w:rFonts w:hint="eastAsia" w:ascii="仿宋" w:hAnsi="仿宋" w:eastAsia="仿宋" w:cs="仿宋"/>
          <w:spacing w:val="-4"/>
          <w:sz w:val="32"/>
          <w:szCs w:val="32"/>
          <w:lang w:val="en-US" w:eastAsia="zh-CN"/>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outlineLvl w:val="9"/>
        <w:rPr>
          <w:rFonts w:hint="eastAsia" w:ascii="仿宋" w:hAnsi="仿宋" w:eastAsia="仿宋" w:cs="仿宋"/>
          <w:b w:val="0"/>
          <w:bCs/>
          <w:sz w:val="40"/>
          <w:szCs w:val="40"/>
        </w:rPr>
      </w:pPr>
      <w:r>
        <w:rPr>
          <w:rFonts w:hint="eastAsia" w:ascii="仿宋" w:hAnsi="仿宋" w:eastAsia="仿宋" w:cs="仿宋"/>
          <w:b w:val="0"/>
          <w:bCs/>
          <w:sz w:val="40"/>
          <w:szCs w:val="40"/>
          <w:lang w:val="en-US" w:eastAsia="zh-CN"/>
        </w:rPr>
        <w:t xml:space="preserve">  </w:t>
      </w:r>
      <w:r>
        <w:rPr>
          <w:rFonts w:hint="eastAsia" w:ascii="仿宋" w:hAnsi="仿宋" w:eastAsia="仿宋" w:cs="仿宋"/>
          <w:b w:val="0"/>
          <w:bCs/>
          <w:sz w:val="40"/>
          <w:szCs w:val="40"/>
          <w:lang w:eastAsia="zh-CN"/>
        </w:rPr>
        <w:t>湖南省农村千人以上</w:t>
      </w:r>
      <w:r>
        <w:rPr>
          <w:rFonts w:hint="eastAsia" w:ascii="仿宋" w:hAnsi="仿宋" w:eastAsia="仿宋" w:cs="仿宋"/>
          <w:b w:val="0"/>
          <w:bCs/>
          <w:sz w:val="40"/>
          <w:szCs w:val="40"/>
        </w:rPr>
        <w:t>饮用水水源地环境问题</w:t>
      </w:r>
    </w:p>
    <w:p>
      <w:pPr>
        <w:pStyle w:val="2"/>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outlineLvl w:val="9"/>
        <w:rPr>
          <w:rFonts w:hint="eastAsia" w:ascii="仿宋" w:hAnsi="仿宋" w:eastAsia="仿宋" w:cs="仿宋"/>
          <w:b w:val="0"/>
          <w:bCs/>
          <w:sz w:val="40"/>
          <w:szCs w:val="40"/>
        </w:rPr>
      </w:pPr>
      <w:r>
        <w:rPr>
          <w:rFonts w:hint="eastAsia" w:ascii="仿宋" w:hAnsi="仿宋" w:eastAsia="仿宋" w:cs="仿宋"/>
          <w:b w:val="0"/>
          <w:bCs/>
          <w:sz w:val="40"/>
          <w:szCs w:val="40"/>
          <w:lang w:val="en-US" w:eastAsia="zh-CN"/>
        </w:rPr>
        <w:t xml:space="preserve">             </w:t>
      </w:r>
      <w:r>
        <w:rPr>
          <w:rFonts w:hint="eastAsia" w:ascii="仿宋" w:hAnsi="仿宋" w:eastAsia="仿宋" w:cs="仿宋"/>
          <w:b w:val="0"/>
          <w:bCs/>
          <w:sz w:val="40"/>
          <w:szCs w:val="40"/>
        </w:rPr>
        <w:t>整治销号确认表</w:t>
      </w:r>
    </w:p>
    <w:p>
      <w:pPr>
        <w:snapToGrid w:val="0"/>
        <w:spacing w:line="240" w:lineRule="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rPr>
        <w:t>填报单位（盖章）                     时间：</w:t>
      </w:r>
      <w:r>
        <w:rPr>
          <w:rFonts w:hint="eastAsia" w:ascii="仿宋" w:hAnsi="仿宋" w:eastAsia="仿宋" w:cs="仿宋"/>
          <w:sz w:val="28"/>
          <w:szCs w:val="28"/>
          <w:lang w:val="en-US" w:eastAsia="zh-CN"/>
        </w:rPr>
        <w:t>2022.6.</w:t>
      </w:r>
      <w:r>
        <w:rPr>
          <w:rFonts w:hint="eastAsia" w:ascii="仿宋" w:hAnsi="仿宋" w:cs="仿宋"/>
          <w:sz w:val="28"/>
          <w:szCs w:val="28"/>
          <w:lang w:val="en-US" w:eastAsia="zh-CN"/>
        </w:rPr>
        <w:t>20</w:t>
      </w:r>
    </w:p>
    <w:tbl>
      <w:tblPr>
        <w:tblStyle w:val="11"/>
        <w:tblW w:w="929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76"/>
        <w:gridCol w:w="2507"/>
        <w:gridCol w:w="1800"/>
        <w:gridCol w:w="2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7"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57" w:leftChars="174"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水源地</w:t>
            </w:r>
          </w:p>
          <w:p>
            <w:pPr>
              <w:keepNext w:val="0"/>
              <w:keepLines w:val="0"/>
              <w:pageBreakBefore w:val="0"/>
              <w:widowControl w:val="0"/>
              <w:kinsoku/>
              <w:wordWrap/>
              <w:overflowPunct/>
              <w:topLinePunct w:val="0"/>
              <w:autoSpaceDE/>
              <w:autoSpaceDN/>
              <w:bidi w:val="0"/>
              <w:adjustRightInd/>
              <w:snapToGrid w:val="0"/>
              <w:spacing w:line="240" w:lineRule="auto"/>
              <w:ind w:left="557" w:leftChars="174"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总序号</w:t>
            </w:r>
          </w:p>
        </w:tc>
        <w:tc>
          <w:tcPr>
            <w:tcW w:w="2507" w:type="dxa"/>
            <w:vAlign w:val="center"/>
          </w:tcPr>
          <w:p>
            <w:pPr>
              <w:spacing w:line="24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cs="仿宋"/>
                <w:sz w:val="28"/>
                <w:szCs w:val="28"/>
                <w:lang w:val="en-US" w:eastAsia="zh-CN"/>
              </w:rPr>
              <w:t>607</w:t>
            </w:r>
          </w:p>
        </w:tc>
        <w:tc>
          <w:tcPr>
            <w:tcW w:w="1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278" w:leftChars="87" w:firstLine="0" w:firstLineChars="0"/>
              <w:jc w:val="both"/>
              <w:textAlignment w:val="auto"/>
              <w:outlineLvl w:val="9"/>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水源地</w:t>
            </w:r>
          </w:p>
          <w:p>
            <w:pPr>
              <w:keepNext w:val="0"/>
              <w:keepLines w:val="0"/>
              <w:pageBreakBefore w:val="0"/>
              <w:widowControl w:val="0"/>
              <w:kinsoku/>
              <w:wordWrap/>
              <w:overflowPunct/>
              <w:topLinePunct w:val="0"/>
              <w:autoSpaceDE/>
              <w:autoSpaceDN/>
              <w:bidi w:val="0"/>
              <w:adjustRightInd/>
              <w:snapToGrid w:val="0"/>
              <w:spacing w:line="240" w:lineRule="auto"/>
              <w:ind w:left="278" w:leftChars="87" w:firstLine="0" w:firstLineChars="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eastAsia="zh-CN"/>
              </w:rPr>
              <w:t>分序号</w:t>
            </w:r>
          </w:p>
        </w:tc>
        <w:tc>
          <w:tcPr>
            <w:tcW w:w="2610" w:type="dxa"/>
            <w:vAlign w:val="center"/>
          </w:tcPr>
          <w:p>
            <w:pPr>
              <w:spacing w:line="24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cs="仿宋"/>
                <w:sz w:val="28"/>
                <w:szCs w:val="28"/>
                <w:lang w:val="en-US" w:eastAsia="zh-CN"/>
              </w:rPr>
              <w:t>69</w:t>
            </w:r>
            <w:bookmarkStart w:id="0" w:name="_GoBack"/>
            <w:bookmarkEnd w:id="0"/>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2"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存在问题</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lang w:val="en-US" w:eastAsia="zh-CN"/>
              </w:rPr>
            </w:pPr>
            <w:r>
              <w:rPr>
                <w:rFonts w:hint="eastAsia" w:ascii="仿宋" w:hAnsi="仿宋" w:eastAsia="仿宋" w:cs="仿宋"/>
                <w:spacing w:val="-4"/>
                <w:sz w:val="28"/>
                <w:szCs w:val="28"/>
                <w:vertAlign w:val="baseline"/>
                <w:lang w:val="en-US" w:eastAsia="zh-CN"/>
              </w:rPr>
              <w:t>南县茅草街镇同福水厂地下水饮用水水源保护区内：1.一级保护区</w:t>
            </w:r>
            <w:r>
              <w:rPr>
                <w:rFonts w:hint="eastAsia" w:ascii="仿宋" w:hAnsi="仿宋" w:eastAsia="仿宋" w:cs="仿宋"/>
                <w:sz w:val="28"/>
                <w:szCs w:val="28"/>
              </w:rPr>
              <w:t>界标</w:t>
            </w:r>
            <w:r>
              <w:rPr>
                <w:rFonts w:hint="eastAsia" w:ascii="仿宋" w:hAnsi="仿宋" w:eastAsia="仿宋" w:cs="仿宋"/>
                <w:sz w:val="28"/>
                <w:szCs w:val="28"/>
                <w:lang w:val="en-US" w:eastAsia="zh-CN"/>
              </w:rPr>
              <w:t>标牌不完善</w:t>
            </w:r>
            <w:r>
              <w:rPr>
                <w:rFonts w:hint="eastAsia" w:ascii="仿宋" w:hAnsi="仿宋" w:eastAsia="仿宋" w:cs="仿宋"/>
                <w:spacing w:val="-4"/>
                <w:sz w:val="28"/>
                <w:szCs w:val="28"/>
                <w:vertAlign w:val="baseline"/>
                <w:lang w:val="en-US" w:eastAsia="zh-CN"/>
              </w:rPr>
              <w:t xml:space="preserve"> 2.隔离防护网</w:t>
            </w:r>
            <w:r>
              <w:rPr>
                <w:rFonts w:hint="eastAsia" w:ascii="仿宋" w:hAnsi="仿宋" w:eastAsia="仿宋" w:cs="仿宋"/>
                <w:sz w:val="28"/>
                <w:szCs w:val="28"/>
                <w:lang w:val="en-US" w:eastAsia="zh-CN"/>
              </w:rPr>
              <w:t>不完善。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0"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整改措施</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pacing w:val="-4"/>
                <w:sz w:val="28"/>
                <w:szCs w:val="28"/>
                <w:vertAlign w:val="baseline"/>
                <w:lang w:val="en-US" w:eastAsia="zh-CN"/>
              </w:rPr>
              <w:t>成立专项整治工作领导小组制定专项整治方案，对南县茅草街镇镇同福水厂地下水饮用水水源保护区1、完善一级保护区内</w:t>
            </w:r>
            <w:r>
              <w:rPr>
                <w:rFonts w:hint="eastAsia" w:ascii="仿宋" w:hAnsi="仿宋" w:eastAsia="仿宋" w:cs="仿宋"/>
                <w:sz w:val="28"/>
                <w:szCs w:val="28"/>
              </w:rPr>
              <w:t>界标</w:t>
            </w:r>
            <w:r>
              <w:rPr>
                <w:rFonts w:hint="eastAsia" w:ascii="仿宋" w:hAnsi="仿宋" w:eastAsia="仿宋" w:cs="仿宋"/>
                <w:sz w:val="28"/>
                <w:szCs w:val="28"/>
                <w:lang w:val="en-US" w:eastAsia="zh-CN"/>
              </w:rPr>
              <w:t>标牌的设置</w:t>
            </w:r>
            <w:r>
              <w:rPr>
                <w:rFonts w:hint="eastAsia" w:ascii="仿宋" w:hAnsi="仿宋" w:eastAsia="仿宋" w:cs="仿宋"/>
                <w:spacing w:val="-4"/>
                <w:sz w:val="28"/>
                <w:szCs w:val="28"/>
                <w:vertAlign w:val="baseline"/>
                <w:lang w:val="en-US" w:eastAsia="zh-CN"/>
              </w:rPr>
              <w:t>。2、完善隔离防护网</w:t>
            </w:r>
            <w:r>
              <w:rPr>
                <w:rFonts w:hint="eastAsia" w:ascii="仿宋" w:hAnsi="仿宋" w:eastAsia="仿宋" w:cs="仿宋"/>
                <w:sz w:val="28"/>
                <w:szCs w:val="28"/>
                <w:lang w:val="en-US" w:eastAsia="zh-CN"/>
              </w:rPr>
              <w:t>的设置。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9"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281" w:firstLineChars="1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整改完成情况</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pacing w:val="-4"/>
                <w:sz w:val="28"/>
                <w:szCs w:val="28"/>
                <w:vertAlign w:val="baseline"/>
                <w:lang w:val="en-US" w:eastAsia="zh-CN"/>
              </w:rPr>
              <w:t>完成对南县茅草街镇同福水厂地下水饮用水水源保护区内：1、完善了</w:t>
            </w:r>
            <w:r>
              <w:rPr>
                <w:rFonts w:hint="eastAsia" w:ascii="仿宋" w:hAnsi="仿宋" w:eastAsia="仿宋" w:cs="仿宋"/>
                <w:sz w:val="28"/>
                <w:szCs w:val="28"/>
              </w:rPr>
              <w:t>保护区界标</w:t>
            </w:r>
            <w:r>
              <w:rPr>
                <w:rFonts w:hint="eastAsia" w:ascii="仿宋" w:hAnsi="仿宋" w:eastAsia="仿宋" w:cs="仿宋"/>
                <w:sz w:val="28"/>
                <w:szCs w:val="28"/>
                <w:lang w:val="en-US" w:eastAsia="zh-CN"/>
              </w:rPr>
              <w:t>标牌的设置</w:t>
            </w:r>
            <w:r>
              <w:rPr>
                <w:rFonts w:hint="eastAsia" w:ascii="仿宋" w:hAnsi="仿宋" w:eastAsia="仿宋" w:cs="仿宋"/>
                <w:spacing w:val="-4"/>
                <w:sz w:val="28"/>
                <w:szCs w:val="28"/>
                <w:vertAlign w:val="baseline"/>
                <w:lang w:val="en-US" w:eastAsia="zh-CN"/>
              </w:rPr>
              <w:t>2、完善了</w:t>
            </w:r>
            <w:r>
              <w:rPr>
                <w:rFonts w:hint="eastAsia" w:ascii="仿宋" w:hAnsi="仿宋" w:eastAsia="仿宋" w:cs="仿宋"/>
                <w:sz w:val="28"/>
                <w:szCs w:val="28"/>
                <w:lang w:eastAsia="zh-CN"/>
              </w:rPr>
              <w:t>隔离防护网</w:t>
            </w:r>
            <w:r>
              <w:rPr>
                <w:rFonts w:hint="eastAsia" w:ascii="仿宋" w:hAnsi="仿宋" w:eastAsia="仿宋" w:cs="仿宋"/>
                <w:sz w:val="28"/>
                <w:szCs w:val="28"/>
                <w:lang w:val="en-US" w:eastAsia="zh-CN"/>
              </w:rPr>
              <w:t>的设置。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0"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公示情况</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（网址）</w:t>
            </w:r>
          </w:p>
        </w:tc>
        <w:tc>
          <w:tcPr>
            <w:tcW w:w="6917" w:type="dxa"/>
            <w:gridSpan w:val="3"/>
            <w:vAlign w:val="center"/>
          </w:tcPr>
          <w:p>
            <w:pPr>
              <w:spacing w:line="240" w:lineRule="auto"/>
              <w:rPr>
                <w:rFonts w:hint="eastAsia" w:ascii="仿宋" w:hAnsi="仿宋" w:eastAsia="仿宋" w:cs="仿宋"/>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09"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县市区政府负责同志签字</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已完成验收，可以销号，现向</w:t>
            </w:r>
            <w:r>
              <w:rPr>
                <w:rFonts w:hint="eastAsia" w:ascii="仿宋" w:hAnsi="仿宋" w:eastAsia="仿宋" w:cs="仿宋"/>
                <w:sz w:val="28"/>
                <w:szCs w:val="28"/>
                <w:lang w:val="en-US" w:eastAsia="zh-CN"/>
              </w:rPr>
              <w:t>益阳市</w:t>
            </w:r>
            <w:r>
              <w:rPr>
                <w:rFonts w:hint="eastAsia" w:ascii="仿宋" w:hAnsi="仿宋" w:eastAsia="仿宋" w:cs="仿宋"/>
                <w:sz w:val="28"/>
                <w:szCs w:val="28"/>
              </w:rPr>
              <w:t>人民政府备案。</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签名：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6" w:hRule="atLeast"/>
        </w:trPr>
        <w:tc>
          <w:tcPr>
            <w:tcW w:w="23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市州级专家组</w:t>
            </w:r>
          </w:p>
          <w:p>
            <w:pPr>
              <w:keepNext w:val="0"/>
              <w:keepLines w:val="0"/>
              <w:pageBreakBefore w:val="0"/>
              <w:widowControl w:val="0"/>
              <w:kinsoku/>
              <w:wordWrap/>
              <w:overflowPunct/>
              <w:topLinePunct w:val="0"/>
              <w:autoSpaceDE/>
              <w:autoSpaceDN/>
              <w:bidi w:val="0"/>
              <w:adjustRightInd/>
              <w:snapToGrid w:val="0"/>
              <w:spacing w:line="240" w:lineRule="auto"/>
              <w:ind w:left="562" w:leftChars="0" w:hanging="562" w:hangingChars="200"/>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组长签字</w:t>
            </w:r>
          </w:p>
        </w:tc>
        <w:tc>
          <w:tcPr>
            <w:tcW w:w="6917"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□经技术核查，符合销号条件。</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□经技术核查，不符合销号条件，请落实以下事项（见附件）。</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签名：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trPr>
        <w:tc>
          <w:tcPr>
            <w:tcW w:w="2376" w:type="dxa"/>
            <w:vAlign w:val="center"/>
          </w:tcPr>
          <w:p>
            <w:pPr>
              <w:spacing w:line="240" w:lineRule="auto"/>
              <w:jc w:val="both"/>
              <w:rPr>
                <w:rFonts w:hint="eastAsia" w:ascii="仿宋" w:hAnsi="仿宋" w:eastAsia="仿宋" w:cs="仿宋"/>
                <w:b/>
                <w:bCs/>
                <w:sz w:val="28"/>
                <w:szCs w:val="28"/>
              </w:rPr>
            </w:pPr>
            <w:r>
              <w:rPr>
                <w:rFonts w:hint="eastAsia" w:ascii="仿宋" w:hAnsi="仿宋" w:eastAsia="仿宋" w:cs="仿宋"/>
                <w:b/>
                <w:bCs/>
                <w:sz w:val="28"/>
                <w:szCs w:val="28"/>
              </w:rPr>
              <w:t>备</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注</w:t>
            </w:r>
          </w:p>
        </w:tc>
        <w:tc>
          <w:tcPr>
            <w:tcW w:w="6917" w:type="dxa"/>
            <w:gridSpan w:val="3"/>
            <w:vAlign w:val="center"/>
          </w:tcPr>
          <w:p>
            <w:pPr>
              <w:spacing w:line="240" w:lineRule="auto"/>
              <w:rPr>
                <w:rFonts w:hint="eastAsia" w:ascii="仿宋" w:hAnsi="仿宋" w:eastAsia="仿宋" w:cs="仿宋"/>
                <w:sz w:val="28"/>
                <w:szCs w:val="28"/>
              </w:rPr>
            </w:pPr>
          </w:p>
        </w:tc>
      </w:tr>
    </w:tbl>
    <w:p>
      <w:pPr>
        <w:snapToGrid w:val="0"/>
        <w:spacing w:line="240" w:lineRule="auto"/>
        <w:rPr>
          <w:rFonts w:hint="eastAsia" w:ascii="仿宋" w:hAnsi="仿宋" w:eastAsia="仿宋" w:cs="仿宋"/>
          <w:sz w:val="28"/>
          <w:szCs w:val="28"/>
          <w:lang w:eastAsia="zh-CN"/>
        </w:rPr>
      </w:pPr>
    </w:p>
    <w:p>
      <w:pPr>
        <w:snapToGrid w:val="0"/>
        <w:spacing w:line="240" w:lineRule="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说明：</w:t>
      </w:r>
      <w:r>
        <w:rPr>
          <w:rFonts w:hint="eastAsia" w:ascii="仿宋" w:hAnsi="仿宋" w:eastAsia="仿宋" w:cs="仿宋"/>
          <w:sz w:val="28"/>
          <w:szCs w:val="28"/>
          <w:lang w:val="en-US" w:eastAsia="zh-CN"/>
        </w:rPr>
        <w:t>1.此表一式三份，各县市区、市州、省厅各存一份。</w:t>
      </w:r>
    </w:p>
    <w:p>
      <w:pPr>
        <w:snapToGrid w:val="0"/>
        <w:spacing w:line="240" w:lineRule="auto"/>
        <w:ind w:firstLine="840" w:firstLineChars="3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2.按水源地销号，一个水源地填报一张销号确认表。</w:t>
      </w:r>
    </w:p>
    <w:p>
      <w:pPr>
        <w:snapToGrid w:val="0"/>
        <w:spacing w:line="240" w:lineRule="auto"/>
        <w:ind w:firstLine="840" w:firstLineChars="300"/>
        <w:rPr>
          <w:rFonts w:hint="eastAsia" w:ascii="仿宋" w:hAnsi="仿宋" w:eastAsia="仿宋" w:cs="仿宋"/>
          <w:spacing w:val="-4"/>
          <w:sz w:val="32"/>
          <w:szCs w:val="32"/>
          <w:lang w:val="en-US" w:eastAsia="zh-CN"/>
        </w:rPr>
      </w:pPr>
      <w:r>
        <w:rPr>
          <w:rFonts w:hint="eastAsia" w:ascii="仿宋" w:hAnsi="仿宋" w:eastAsia="仿宋" w:cs="仿宋"/>
          <w:sz w:val="28"/>
          <w:szCs w:val="28"/>
          <w:lang w:val="en-US" w:eastAsia="zh-CN"/>
        </w:rPr>
        <w:t>3.水源地总序号、分序号分别按水源地整治名单对应序号填报。</w:t>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98E674"/>
    <w:multiLevelType w:val="singleLevel"/>
    <w:tmpl w:val="CB98E674"/>
    <w:lvl w:ilvl="0" w:tentative="0">
      <w:start w:val="1"/>
      <w:numFmt w:val="chineseCounting"/>
      <w:suff w:val="nothing"/>
      <w:lvlText w:val="%1．"/>
      <w:lvlJc w:val="left"/>
      <w:rPr>
        <w:rFonts w:hint="eastAsia"/>
      </w:rPr>
    </w:lvl>
  </w:abstractNum>
  <w:abstractNum w:abstractNumId="1">
    <w:nsid w:val="117B60E1"/>
    <w:multiLevelType w:val="multilevel"/>
    <w:tmpl w:val="117B60E1"/>
    <w:lvl w:ilvl="0" w:tentative="0">
      <w:start w:val="1"/>
      <w:numFmt w:val="chineseCountingThousand"/>
      <w:pStyle w:val="3"/>
      <w:lvlText w:val="%1、"/>
      <w:lvlJc w:val="left"/>
      <w:pPr>
        <w:ind w:left="425" w:hanging="425"/>
      </w:pPr>
      <w:rPr>
        <w:rFonts w:hint="eastAsia"/>
      </w:rPr>
    </w:lvl>
    <w:lvl w:ilvl="1" w:tentative="0">
      <w:start w:val="1"/>
      <w:numFmt w:val="chineseCountingThousand"/>
      <w:pStyle w:val="4"/>
      <w:lvlText w:val="（%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70E56F8"/>
    <w:multiLevelType w:val="singleLevel"/>
    <w:tmpl w:val="170E56F8"/>
    <w:lvl w:ilvl="0" w:tentative="0">
      <w:start w:val="1"/>
      <w:numFmt w:val="chineseCounting"/>
      <w:suff w:val="nothing"/>
      <w:lvlText w:val="%1、"/>
      <w:lvlJc w:val="left"/>
      <w:rPr>
        <w:rFonts w:hint="eastAsia"/>
      </w:rPr>
    </w:lvl>
  </w:abstractNum>
  <w:abstractNum w:abstractNumId="3">
    <w:nsid w:val="66675416"/>
    <w:multiLevelType w:val="multilevel"/>
    <w:tmpl w:val="66675416"/>
    <w:lvl w:ilvl="0" w:tentative="0">
      <w:start w:val="1"/>
      <w:numFmt w:val="chineseCountingThousand"/>
      <w:pStyle w:val="5"/>
      <w:lvlText w:val="（%1）"/>
      <w:lvlJc w:val="left"/>
      <w:pPr>
        <w:ind w:left="320" w:hanging="420"/>
      </w:pPr>
      <w:rPr>
        <w:rFonts w:hint="eastAsia"/>
      </w:rPr>
    </w:lvl>
    <w:lvl w:ilvl="1" w:tentative="0">
      <w:start w:val="1"/>
      <w:numFmt w:val="lowerLetter"/>
      <w:lvlText w:val="%2)"/>
      <w:lvlJc w:val="left"/>
      <w:pPr>
        <w:ind w:left="740" w:hanging="420"/>
      </w:pPr>
    </w:lvl>
    <w:lvl w:ilvl="2" w:tentative="0">
      <w:start w:val="1"/>
      <w:numFmt w:val="lowerRoman"/>
      <w:lvlText w:val="%3."/>
      <w:lvlJc w:val="right"/>
      <w:pPr>
        <w:ind w:left="1160" w:hanging="420"/>
      </w:pPr>
    </w:lvl>
    <w:lvl w:ilvl="3" w:tentative="0">
      <w:start w:val="1"/>
      <w:numFmt w:val="decimal"/>
      <w:lvlText w:val="%4."/>
      <w:lvlJc w:val="left"/>
      <w:pPr>
        <w:ind w:left="1580" w:hanging="420"/>
      </w:pPr>
    </w:lvl>
    <w:lvl w:ilvl="4" w:tentative="0">
      <w:start w:val="1"/>
      <w:numFmt w:val="lowerLetter"/>
      <w:lvlText w:val="%5)"/>
      <w:lvlJc w:val="left"/>
      <w:pPr>
        <w:ind w:left="2000" w:hanging="420"/>
      </w:pPr>
    </w:lvl>
    <w:lvl w:ilvl="5" w:tentative="0">
      <w:start w:val="1"/>
      <w:numFmt w:val="lowerRoman"/>
      <w:lvlText w:val="%6."/>
      <w:lvlJc w:val="right"/>
      <w:pPr>
        <w:ind w:left="2420" w:hanging="420"/>
      </w:pPr>
    </w:lvl>
    <w:lvl w:ilvl="6" w:tentative="0">
      <w:start w:val="1"/>
      <w:numFmt w:val="decimal"/>
      <w:lvlText w:val="%7."/>
      <w:lvlJc w:val="left"/>
      <w:pPr>
        <w:ind w:left="2840" w:hanging="420"/>
      </w:pPr>
    </w:lvl>
    <w:lvl w:ilvl="7" w:tentative="0">
      <w:start w:val="1"/>
      <w:numFmt w:val="lowerLetter"/>
      <w:lvlText w:val="%8)"/>
      <w:lvlJc w:val="left"/>
      <w:pPr>
        <w:ind w:left="3260" w:hanging="420"/>
      </w:pPr>
    </w:lvl>
    <w:lvl w:ilvl="8" w:tentative="0">
      <w:start w:val="1"/>
      <w:numFmt w:val="lowerRoman"/>
      <w:lvlText w:val="%9."/>
      <w:lvlJc w:val="right"/>
      <w:pPr>
        <w:ind w:left="3680" w:hanging="420"/>
      </w:pPr>
    </w:lvl>
  </w:abstractNum>
  <w:abstractNum w:abstractNumId="4">
    <w:nsid w:val="716451AE"/>
    <w:multiLevelType w:val="multilevel"/>
    <w:tmpl w:val="716451AE"/>
    <w:lvl w:ilvl="0" w:tentative="0">
      <w:start w:val="1"/>
      <w:numFmt w:val="chineseCountingThousand"/>
      <w:pStyle w:val="8"/>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EsImhkaWQiOiIyNjZiMzFkMGMxOGVkZGQ2ODZhMDczMDU3N2UyYmIyMCIsInVzZXJDb3VudCI6NH0="/>
  </w:docVars>
  <w:rsids>
    <w:rsidRoot w:val="70E84E4F"/>
    <w:rsid w:val="00036FC1"/>
    <w:rsid w:val="00074598"/>
    <w:rsid w:val="000A18DE"/>
    <w:rsid w:val="00116027"/>
    <w:rsid w:val="00120BF0"/>
    <w:rsid w:val="00133D7A"/>
    <w:rsid w:val="00134FC9"/>
    <w:rsid w:val="001D783C"/>
    <w:rsid w:val="00253A33"/>
    <w:rsid w:val="002F3ECB"/>
    <w:rsid w:val="002F687D"/>
    <w:rsid w:val="003335A7"/>
    <w:rsid w:val="003461E2"/>
    <w:rsid w:val="003861CA"/>
    <w:rsid w:val="003B2630"/>
    <w:rsid w:val="003E7A13"/>
    <w:rsid w:val="004B128F"/>
    <w:rsid w:val="004D5686"/>
    <w:rsid w:val="005019DC"/>
    <w:rsid w:val="00542134"/>
    <w:rsid w:val="005A6949"/>
    <w:rsid w:val="005B1FD2"/>
    <w:rsid w:val="005D6E53"/>
    <w:rsid w:val="005F4D23"/>
    <w:rsid w:val="00632A36"/>
    <w:rsid w:val="0069468B"/>
    <w:rsid w:val="00720B00"/>
    <w:rsid w:val="007476E2"/>
    <w:rsid w:val="00767CF3"/>
    <w:rsid w:val="007879A6"/>
    <w:rsid w:val="007A1319"/>
    <w:rsid w:val="008306B5"/>
    <w:rsid w:val="0086240C"/>
    <w:rsid w:val="008C17E9"/>
    <w:rsid w:val="008E695A"/>
    <w:rsid w:val="0091338E"/>
    <w:rsid w:val="009533E7"/>
    <w:rsid w:val="0097500A"/>
    <w:rsid w:val="009D232C"/>
    <w:rsid w:val="00AA6B0C"/>
    <w:rsid w:val="00B043F2"/>
    <w:rsid w:val="00B21933"/>
    <w:rsid w:val="00B90A67"/>
    <w:rsid w:val="00BD63CE"/>
    <w:rsid w:val="00BE5DB4"/>
    <w:rsid w:val="00C31E8A"/>
    <w:rsid w:val="00C83D0B"/>
    <w:rsid w:val="00D250B6"/>
    <w:rsid w:val="00D67990"/>
    <w:rsid w:val="00D744A0"/>
    <w:rsid w:val="00DA5765"/>
    <w:rsid w:val="00DE452F"/>
    <w:rsid w:val="00E11B27"/>
    <w:rsid w:val="00E546C4"/>
    <w:rsid w:val="00ED378A"/>
    <w:rsid w:val="00EE2E1D"/>
    <w:rsid w:val="00F06B98"/>
    <w:rsid w:val="00F06F43"/>
    <w:rsid w:val="00F13760"/>
    <w:rsid w:val="00F85CC1"/>
    <w:rsid w:val="09AF79E5"/>
    <w:rsid w:val="0B0F1F19"/>
    <w:rsid w:val="17934DF1"/>
    <w:rsid w:val="1B717181"/>
    <w:rsid w:val="1DEE1114"/>
    <w:rsid w:val="1FBF2EB6"/>
    <w:rsid w:val="253F58ED"/>
    <w:rsid w:val="2AD60AF9"/>
    <w:rsid w:val="2D094059"/>
    <w:rsid w:val="2D7C29C6"/>
    <w:rsid w:val="2DDD085C"/>
    <w:rsid w:val="36863761"/>
    <w:rsid w:val="38790190"/>
    <w:rsid w:val="42B95AE9"/>
    <w:rsid w:val="45630125"/>
    <w:rsid w:val="457360F7"/>
    <w:rsid w:val="567E2900"/>
    <w:rsid w:val="56B63D74"/>
    <w:rsid w:val="5A072D9A"/>
    <w:rsid w:val="5CAE5B63"/>
    <w:rsid w:val="627577EE"/>
    <w:rsid w:val="6E296324"/>
    <w:rsid w:val="70E84E4F"/>
    <w:rsid w:val="78EC3E94"/>
    <w:rsid w:val="7C8456C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640" w:firstLineChars="200"/>
      <w:jc w:val="both"/>
    </w:pPr>
    <w:rPr>
      <w:rFonts w:ascii="Calibri" w:hAnsi="Calibri" w:eastAsia="仿宋" w:cs="Times New Roman"/>
      <w:kern w:val="2"/>
      <w:sz w:val="32"/>
      <w:szCs w:val="21"/>
      <w:lang w:val="en-US" w:eastAsia="zh-CN" w:bidi="ar-SA"/>
    </w:rPr>
  </w:style>
  <w:style w:type="paragraph" w:styleId="3">
    <w:name w:val="heading 1"/>
    <w:next w:val="1"/>
    <w:link w:val="29"/>
    <w:qFormat/>
    <w:uiPriority w:val="9"/>
    <w:pPr>
      <w:numPr>
        <w:ilvl w:val="0"/>
        <w:numId w:val="1"/>
      </w:numPr>
      <w:ind w:left="0" w:firstLine="200" w:firstLineChars="200"/>
      <w:jc w:val="both"/>
      <w:outlineLvl w:val="0"/>
    </w:pPr>
    <w:rPr>
      <w:rFonts w:ascii="Calibri" w:hAnsi="Calibri" w:eastAsia="仿宋" w:cs="Times New Roman"/>
      <w:b/>
      <w:bCs/>
      <w:kern w:val="44"/>
      <w:sz w:val="32"/>
      <w:szCs w:val="44"/>
      <w:lang w:val="en-US" w:eastAsia="zh-CN" w:bidi="ar-SA"/>
    </w:rPr>
  </w:style>
  <w:style w:type="paragraph" w:styleId="4">
    <w:name w:val="heading 2"/>
    <w:next w:val="1"/>
    <w:link w:val="26"/>
    <w:qFormat/>
    <w:uiPriority w:val="9"/>
    <w:pPr>
      <w:numPr>
        <w:ilvl w:val="1"/>
        <w:numId w:val="1"/>
      </w:numPr>
      <w:ind w:left="0" w:firstLine="200" w:firstLineChars="200"/>
      <w:jc w:val="both"/>
      <w:outlineLvl w:val="1"/>
    </w:pPr>
    <w:rPr>
      <w:rFonts w:ascii="Cambria" w:hAnsi="Cambria" w:eastAsia="仿宋" w:cs="Times New Roman"/>
      <w:bCs/>
      <w:kern w:val="2"/>
      <w:sz w:val="32"/>
      <w:szCs w:val="32"/>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footer"/>
    <w:basedOn w:val="1"/>
    <w:next w:val="1"/>
    <w:link w:val="28"/>
    <w:unhideWhenUsed/>
    <w:qFormat/>
    <w:uiPriority w:val="99"/>
    <w:pPr>
      <w:tabs>
        <w:tab w:val="center" w:pos="4153"/>
        <w:tab w:val="right" w:pos="8306"/>
      </w:tabs>
      <w:snapToGrid w:val="0"/>
    </w:pPr>
    <w:rPr>
      <w:rFonts w:ascii="Calibri" w:hAnsi="Calibri" w:eastAsia="仿宋" w:cs="Times New Roman"/>
      <w:kern w:val="2"/>
      <w:sz w:val="18"/>
      <w:szCs w:val="18"/>
      <w:lang w:val="en-US" w:eastAsia="zh-CN" w:bidi="ar-SA"/>
    </w:rPr>
  </w:style>
  <w:style w:type="paragraph" w:styleId="5">
    <w:name w:val="List 2"/>
    <w:unhideWhenUsed/>
    <w:qFormat/>
    <w:uiPriority w:val="99"/>
    <w:pPr>
      <w:numPr>
        <w:ilvl w:val="0"/>
        <w:numId w:val="2"/>
      </w:numPr>
      <w:ind w:left="0" w:firstLine="200" w:firstLineChars="200"/>
    </w:pPr>
    <w:rPr>
      <w:rFonts w:ascii="Calibri" w:hAnsi="Calibri" w:eastAsia="仿宋" w:cs="Times New Roman"/>
      <w:kern w:val="2"/>
      <w:sz w:val="32"/>
      <w:szCs w:val="21"/>
      <w:lang w:val="en-US" w:eastAsia="zh-CN" w:bidi="ar-SA"/>
    </w:rPr>
  </w:style>
  <w:style w:type="paragraph" w:styleId="6">
    <w:name w:val="Date"/>
    <w:basedOn w:val="1"/>
    <w:next w:val="1"/>
    <w:link w:val="25"/>
    <w:unhideWhenUsed/>
    <w:qFormat/>
    <w:uiPriority w:val="99"/>
    <w:pPr>
      <w:ind w:left="100" w:leftChars="2500"/>
    </w:pPr>
  </w:style>
  <w:style w:type="paragraph" w:styleId="7">
    <w:name w:val="header"/>
    <w:link w:val="27"/>
    <w:unhideWhenUsed/>
    <w:qFormat/>
    <w:uiPriority w:val="99"/>
    <w:pPr>
      <w:tabs>
        <w:tab w:val="center" w:pos="4153"/>
        <w:tab w:val="right" w:pos="8306"/>
      </w:tabs>
      <w:snapToGrid w:val="0"/>
      <w:jc w:val="center"/>
    </w:pPr>
    <w:rPr>
      <w:rFonts w:ascii="Calibri" w:hAnsi="Calibri" w:eastAsia="仿宋" w:cs="Times New Roman"/>
      <w:kern w:val="2"/>
      <w:sz w:val="18"/>
      <w:szCs w:val="18"/>
      <w:lang w:val="en-US" w:eastAsia="zh-CN" w:bidi="ar-SA"/>
    </w:rPr>
  </w:style>
  <w:style w:type="paragraph" w:styleId="8">
    <w:name w:val="List"/>
    <w:unhideWhenUsed/>
    <w:qFormat/>
    <w:uiPriority w:val="99"/>
    <w:pPr>
      <w:numPr>
        <w:ilvl w:val="0"/>
        <w:numId w:val="3"/>
      </w:numPr>
      <w:ind w:left="0" w:firstLine="200" w:firstLineChars="200"/>
      <w:contextualSpacing/>
    </w:pPr>
    <w:rPr>
      <w:rFonts w:ascii="Calibri" w:hAnsi="Calibri" w:eastAsia="仿宋" w:cs="Times New Roman"/>
      <w:kern w:val="2"/>
      <w:sz w:val="32"/>
      <w:szCs w:val="21"/>
      <w:lang w:val="en-US" w:eastAsia="zh-CN" w:bidi="ar-SA"/>
    </w:rPr>
  </w:style>
  <w:style w:type="paragraph" w:styleId="9">
    <w:name w:val="Normal (Web)"/>
    <w:basedOn w:val="1"/>
    <w:unhideWhenUsed/>
    <w:qFormat/>
    <w:uiPriority w:val="99"/>
    <w:pPr>
      <w:spacing w:before="100" w:beforeAutospacing="1" w:after="100" w:afterAutospacing="1"/>
      <w:ind w:firstLine="0" w:firstLineChars="0"/>
      <w:jc w:val="left"/>
    </w:pPr>
    <w:rPr>
      <w:rFonts w:ascii="宋体" w:hAnsi="宋体" w:eastAsia="宋体" w:cs="宋体"/>
      <w:kern w:val="0"/>
      <w:sz w:val="24"/>
      <w:szCs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22"/>
    <w:rPr>
      <w:b/>
      <w:bCs/>
    </w:rPr>
  </w:style>
  <w:style w:type="paragraph" w:customStyle="1" w:styleId="14">
    <w:name w:val="发文机关"/>
    <w:qFormat/>
    <w:uiPriority w:val="0"/>
    <w:pPr>
      <w:adjustRightInd w:val="0"/>
      <w:snapToGrid w:val="0"/>
      <w:spacing w:after="624" w:afterLines="200"/>
      <w:jc w:val="center"/>
    </w:pPr>
    <w:rPr>
      <w:rFonts w:ascii="Calibri" w:hAnsi="Calibri" w:eastAsia="宋体" w:cs="Times New Roman"/>
      <w:b/>
      <w:color w:val="FF0000"/>
      <w:w w:val="70"/>
      <w:kern w:val="2"/>
      <w:sz w:val="130"/>
      <w:szCs w:val="130"/>
      <w:lang w:val="en-US" w:eastAsia="zh-CN" w:bidi="ar-SA"/>
    </w:rPr>
  </w:style>
  <w:style w:type="paragraph" w:customStyle="1" w:styleId="15">
    <w:name w:val="表格内容"/>
    <w:qFormat/>
    <w:uiPriority w:val="0"/>
    <w:pPr>
      <w:spacing w:line="432" w:lineRule="atLeast"/>
      <w:jc w:val="both"/>
    </w:pPr>
    <w:rPr>
      <w:rFonts w:ascii="Calibri" w:hAnsi="Calibri" w:eastAsia="宋体" w:cs="宋体"/>
      <w:lang w:val="en-US" w:eastAsia="zh-CN" w:bidi="ar-SA"/>
    </w:rPr>
  </w:style>
  <w:style w:type="paragraph" w:customStyle="1" w:styleId="16">
    <w:name w:val="主送机关"/>
    <w:qFormat/>
    <w:uiPriority w:val="0"/>
    <w:rPr>
      <w:rFonts w:ascii="Calibri" w:hAnsi="Calibri" w:eastAsia="仿宋" w:cs="Times New Roman"/>
      <w:kern w:val="2"/>
      <w:sz w:val="32"/>
      <w:szCs w:val="21"/>
      <w:lang w:val="en-US" w:eastAsia="zh-CN" w:bidi="ar-SA"/>
    </w:rPr>
  </w:style>
  <w:style w:type="paragraph" w:customStyle="1" w:styleId="17">
    <w:name w:val="发文字号"/>
    <w:qFormat/>
    <w:uiPriority w:val="0"/>
    <w:pPr>
      <w:pBdr>
        <w:bottom w:val="single" w:color="FF0000" w:sz="18" w:space="1"/>
      </w:pBdr>
      <w:jc w:val="center"/>
    </w:pPr>
    <w:rPr>
      <w:rFonts w:ascii="Calibri" w:hAnsi="Calibri" w:eastAsia="仿宋" w:cs="Times New Roman"/>
      <w:kern w:val="2"/>
      <w:sz w:val="32"/>
      <w:szCs w:val="21"/>
      <w:lang w:val="en-US" w:eastAsia="zh-CN" w:bidi="ar-SA"/>
    </w:rPr>
  </w:style>
  <w:style w:type="paragraph" w:customStyle="1" w:styleId="18">
    <w:name w:val="发文机关署名"/>
    <w:qFormat/>
    <w:uiPriority w:val="0"/>
    <w:pPr>
      <w:ind w:right="1696" w:rightChars="530"/>
      <w:jc w:val="right"/>
    </w:pPr>
    <w:rPr>
      <w:rFonts w:ascii="Calibri" w:hAnsi="Calibri" w:eastAsia="仿宋" w:cs="Times New Roman"/>
      <w:kern w:val="2"/>
      <w:sz w:val="32"/>
      <w:szCs w:val="21"/>
      <w:lang w:val="en-US" w:eastAsia="zh-CN" w:bidi="ar-SA"/>
    </w:rPr>
  </w:style>
  <w:style w:type="paragraph" w:customStyle="1" w:styleId="19">
    <w:name w:val="公文标题"/>
    <w:qFormat/>
    <w:uiPriority w:val="0"/>
    <w:pPr>
      <w:adjustRightInd w:val="0"/>
      <w:snapToGrid w:val="0"/>
      <w:spacing w:before="624" w:beforeLines="200" w:after="624" w:afterLines="200"/>
      <w:jc w:val="center"/>
    </w:pPr>
    <w:rPr>
      <w:rFonts w:ascii="Calibri" w:hAnsi="Calibri" w:eastAsia="宋体" w:cs="Times New Roman"/>
      <w:kern w:val="2"/>
      <w:sz w:val="44"/>
      <w:szCs w:val="21"/>
      <w:lang w:val="en-US" w:eastAsia="zh-CN" w:bidi="ar-SA"/>
    </w:rPr>
  </w:style>
  <w:style w:type="paragraph" w:customStyle="1" w:styleId="20">
    <w:name w:val="正文居中"/>
    <w:qFormat/>
    <w:uiPriority w:val="0"/>
    <w:pPr>
      <w:jc w:val="center"/>
    </w:pPr>
    <w:rPr>
      <w:rFonts w:ascii="Calibri" w:hAnsi="Calibri" w:eastAsia="仿宋" w:cs="Times New Roman"/>
      <w:kern w:val="2"/>
      <w:sz w:val="32"/>
      <w:szCs w:val="21"/>
      <w:lang w:val="en-US" w:eastAsia="zh-CN" w:bidi="ar-SA"/>
    </w:rPr>
  </w:style>
  <w:style w:type="paragraph" w:customStyle="1" w:styleId="21">
    <w:name w:val="成文日期"/>
    <w:qFormat/>
    <w:uiPriority w:val="0"/>
    <w:pPr>
      <w:ind w:right="1280" w:rightChars="400"/>
      <w:jc w:val="right"/>
    </w:pPr>
    <w:rPr>
      <w:rFonts w:ascii="Calibri" w:hAnsi="Calibri" w:eastAsia="仿宋" w:cs="Times New Roman"/>
      <w:kern w:val="2"/>
      <w:sz w:val="32"/>
      <w:szCs w:val="21"/>
      <w:lang w:val="en-US" w:eastAsia="zh-CN" w:bidi="ar-SA"/>
    </w:rPr>
  </w:style>
  <w:style w:type="paragraph" w:customStyle="1" w:styleId="22">
    <w:name w:val="附件"/>
    <w:qFormat/>
    <w:uiPriority w:val="0"/>
    <w:pPr>
      <w:pageBreakBefore/>
    </w:pPr>
    <w:rPr>
      <w:rFonts w:ascii="宋体" w:hAnsi="宋体" w:eastAsia="黑体" w:cs="宋体"/>
      <w:bCs/>
      <w:color w:val="000000"/>
      <w:sz w:val="32"/>
      <w:szCs w:val="24"/>
      <w:lang w:val="en-US" w:eastAsia="zh-CN" w:bidi="ar-SA"/>
    </w:rPr>
  </w:style>
  <w:style w:type="paragraph" w:customStyle="1" w:styleId="23">
    <w:name w:val="表格标题"/>
    <w:qFormat/>
    <w:uiPriority w:val="0"/>
    <w:pPr>
      <w:spacing w:line="432" w:lineRule="atLeast"/>
      <w:jc w:val="center"/>
    </w:pPr>
    <w:rPr>
      <w:rFonts w:ascii="Calibri" w:hAnsi="Calibri" w:eastAsia="宋体" w:cs="宋体"/>
      <w:b/>
      <w:bCs/>
      <w:lang w:val="en-US" w:eastAsia="zh-CN" w:bidi="ar-SA"/>
    </w:rPr>
  </w:style>
  <w:style w:type="paragraph" w:customStyle="1" w:styleId="24">
    <w:name w:val="正文加粗"/>
    <w:qFormat/>
    <w:uiPriority w:val="0"/>
    <w:rPr>
      <w:rFonts w:ascii="Calibri" w:hAnsi="Calibri" w:eastAsia="仿宋" w:cs="Times New Roman"/>
      <w:b/>
      <w:kern w:val="2"/>
      <w:sz w:val="32"/>
      <w:szCs w:val="21"/>
      <w:lang w:val="en-US" w:eastAsia="zh-CN" w:bidi="ar-SA"/>
    </w:rPr>
  </w:style>
  <w:style w:type="character" w:customStyle="1" w:styleId="25">
    <w:name w:val="日期 Char"/>
    <w:link w:val="6"/>
    <w:semiHidden/>
    <w:qFormat/>
    <w:uiPriority w:val="99"/>
    <w:rPr>
      <w:rFonts w:eastAsia="仿宋"/>
      <w:kern w:val="2"/>
      <w:sz w:val="32"/>
      <w:szCs w:val="21"/>
    </w:rPr>
  </w:style>
  <w:style w:type="character" w:customStyle="1" w:styleId="26">
    <w:name w:val="标题 2 Char"/>
    <w:link w:val="4"/>
    <w:qFormat/>
    <w:uiPriority w:val="9"/>
    <w:rPr>
      <w:rFonts w:ascii="Cambria" w:hAnsi="Cambria" w:eastAsia="仿宋" w:cs="Times New Roman"/>
      <w:bCs/>
      <w:sz w:val="32"/>
      <w:szCs w:val="32"/>
    </w:rPr>
  </w:style>
  <w:style w:type="character" w:customStyle="1" w:styleId="27">
    <w:name w:val="页眉 Char"/>
    <w:link w:val="7"/>
    <w:qFormat/>
    <w:uiPriority w:val="99"/>
    <w:rPr>
      <w:rFonts w:eastAsia="仿宋"/>
      <w:sz w:val="18"/>
      <w:szCs w:val="18"/>
    </w:rPr>
  </w:style>
  <w:style w:type="character" w:customStyle="1" w:styleId="28">
    <w:name w:val="页脚 Char"/>
    <w:link w:val="2"/>
    <w:qFormat/>
    <w:uiPriority w:val="99"/>
    <w:rPr>
      <w:rFonts w:eastAsia="仿宋"/>
      <w:sz w:val="18"/>
      <w:szCs w:val="18"/>
    </w:rPr>
  </w:style>
  <w:style w:type="character" w:customStyle="1" w:styleId="29">
    <w:name w:val="标题 1 Char"/>
    <w:link w:val="3"/>
    <w:qFormat/>
    <w:uiPriority w:val="9"/>
    <w:rPr>
      <w:rFonts w:eastAsia="仿宋"/>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TH_Lenovo\AppData\Roaming\kingsoft\office6\templates\download\2cabbdcf-bb87-4a13-b8bb-58e6c5024bcf\&#32418;&#22836;&#25991;&#20214;.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红头文件.docx</Template>
  <Pages>11</Pages>
  <Words>2205</Words>
  <Characters>2283</Characters>
  <Lines>74</Lines>
  <Paragraphs>32</Paragraphs>
  <TotalTime>10</TotalTime>
  <ScaleCrop>false</ScaleCrop>
  <LinksUpToDate>false</LinksUpToDate>
  <CharactersWithSpaces>2555</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2022-05-10T04:28:00Z</dcterms:created>
  <dc:creator>雾都枪声</dc:creator>
  <cp:lastModifiedBy>坤哥</cp:lastModifiedBy>
  <dcterms:modified xsi:type="dcterms:W3CDTF">2022-06-21T02:36:56Z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name">
    <vt:lpwstr>促进国家级经济技术红头文件.doc</vt:lpwstr>
  </property>
  <property fmtid="{D5CDD505-2E9C-101B-9397-08002B2CF9AE}" pid="4" name="fileid">
    <vt:lpwstr>1107583</vt:lpwstr>
  </property>
  <property fmtid="{D5CDD505-2E9C-101B-9397-08002B2CF9AE}" pid="5" name="search_tags">
    <vt:lpwstr/>
  </property>
  <property fmtid="{D5CDD505-2E9C-101B-9397-08002B2CF9AE}" pid="6" name="ICV">
    <vt:lpwstr>A320549416104EA582831856139AB20C</vt:lpwstr>
  </property>
  <property fmtid="{D5CDD505-2E9C-101B-9397-08002B2CF9AE}" pid="7" name="KSOTemplateUUID">
    <vt:lpwstr>v1.0_library_B45NI3GSBeehEeAXz5Noag==</vt:lpwstr>
  </property>
</Properties>
</file>