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color w:val="000000"/>
          <w:kern w:val="2"/>
          <w:sz w:val="44"/>
          <w:szCs w:val="44"/>
          <w:lang w:val="en-US" w:eastAsia="zh-CN" w:bidi="ar-SA"/>
        </w:rPr>
      </w:pPr>
      <w:bookmarkStart w:id="0" w:name="_GoBack"/>
      <w:bookmarkEnd w:id="0"/>
      <w:r>
        <w:rPr>
          <w:rFonts w:hint="eastAsia" w:ascii="仿宋" w:hAnsi="仿宋" w:eastAsia="仿宋" w:cs="仿宋"/>
          <w:b/>
          <w:bCs/>
          <w:color w:val="000000"/>
          <w:kern w:val="2"/>
          <w:sz w:val="44"/>
          <w:szCs w:val="44"/>
          <w:lang w:val="en-US" w:eastAsia="zh-CN" w:bidi="ar-SA"/>
        </w:rPr>
        <w:t>南县人民政府办公室</w:t>
      </w:r>
    </w:p>
    <w:p>
      <w:pPr>
        <w:spacing w:line="560" w:lineRule="exact"/>
        <w:jc w:val="center"/>
        <w:rPr>
          <w:rFonts w:hint="eastAsia" w:ascii="仿宋" w:hAnsi="仿宋" w:eastAsia="仿宋" w:cs="仿宋"/>
          <w:b/>
          <w:bCs/>
          <w:color w:val="000000"/>
          <w:sz w:val="44"/>
          <w:szCs w:val="44"/>
        </w:rPr>
      </w:pPr>
      <w:r>
        <w:rPr>
          <w:rFonts w:hint="eastAsia" w:ascii="仿宋" w:hAnsi="仿宋" w:eastAsia="仿宋" w:cs="仿宋"/>
          <w:b/>
          <w:bCs/>
          <w:color w:val="000000"/>
          <w:sz w:val="44"/>
          <w:szCs w:val="44"/>
        </w:rPr>
        <w:t>202</w:t>
      </w:r>
      <w:r>
        <w:rPr>
          <w:rFonts w:hint="eastAsia" w:ascii="仿宋" w:hAnsi="仿宋" w:eastAsia="仿宋" w:cs="仿宋"/>
          <w:b/>
          <w:bCs/>
          <w:color w:val="000000"/>
          <w:sz w:val="44"/>
          <w:szCs w:val="44"/>
          <w:lang w:val="en-US" w:eastAsia="zh-CN"/>
        </w:rPr>
        <w:t>0</w:t>
      </w:r>
      <w:r>
        <w:rPr>
          <w:rFonts w:hint="eastAsia" w:ascii="仿宋" w:hAnsi="仿宋" w:eastAsia="仿宋" w:cs="仿宋"/>
          <w:b/>
          <w:bCs/>
          <w:color w:val="000000"/>
          <w:sz w:val="44"/>
          <w:szCs w:val="44"/>
        </w:rPr>
        <w:t>年度项目支出绩效评价报告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寰蒋闆呴粦" w:hAnsi="寰蒋闆呴粦" w:eastAsia="寰蒋闆呴粦" w:cs="寰蒋闆呴粦"/>
          <w:b/>
          <w:bCs/>
          <w:caps w:val="0"/>
          <w:color w:val="E73C25"/>
          <w:spacing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中共</w:t>
      </w:r>
      <w:r>
        <w:rPr>
          <w:rFonts w:hint="eastAsia" w:ascii="仿宋" w:hAnsi="仿宋" w:eastAsia="仿宋" w:cs="仿宋"/>
          <w:sz w:val="32"/>
          <w:szCs w:val="32"/>
        </w:rPr>
        <w:t>湖南省</w:t>
      </w:r>
      <w:r>
        <w:rPr>
          <w:rFonts w:hint="eastAsia" w:ascii="仿宋" w:hAnsi="仿宋" w:eastAsia="仿宋" w:cs="仿宋"/>
          <w:sz w:val="32"/>
          <w:szCs w:val="32"/>
          <w:lang w:val="en-US" w:eastAsia="zh-CN"/>
        </w:rPr>
        <w:t>委办公厅 湖南省人民政府办公厅关于全面实施预算绩效管理的实施意见</w:t>
      </w:r>
      <w:r>
        <w:rPr>
          <w:rFonts w:hint="eastAsia" w:ascii="仿宋" w:hAnsi="仿宋" w:eastAsia="仿宋" w:cs="仿宋"/>
          <w:sz w:val="32"/>
          <w:szCs w:val="32"/>
        </w:rPr>
        <w:t>》（湘</w:t>
      </w:r>
      <w:r>
        <w:rPr>
          <w:rFonts w:hint="eastAsia" w:ascii="仿宋" w:hAnsi="仿宋" w:eastAsia="仿宋" w:cs="仿宋"/>
          <w:sz w:val="32"/>
          <w:szCs w:val="32"/>
          <w:lang w:val="en-US" w:eastAsia="zh-CN"/>
        </w:rPr>
        <w:t>办</w:t>
      </w:r>
      <w:r>
        <w:rPr>
          <w:rFonts w:hint="eastAsia" w:ascii="仿宋" w:hAnsi="仿宋" w:eastAsia="仿宋" w:cs="仿宋"/>
          <w:sz w:val="32"/>
          <w:szCs w:val="32"/>
        </w:rPr>
        <w:t>发〔20</w:t>
      </w:r>
      <w:r>
        <w:rPr>
          <w:rFonts w:hint="eastAsia" w:ascii="仿宋" w:hAnsi="仿宋" w:eastAsia="仿宋" w:cs="仿宋"/>
          <w:sz w:val="32"/>
          <w:szCs w:val="32"/>
          <w:lang w:val="en-US" w:eastAsia="zh-CN"/>
        </w:rPr>
        <w:t>19</w:t>
      </w: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号）和《南县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号）等文件精神要求，为进一步规范财政资金管理，牢固树立预算绩效理念，切实提高财政资金使用效率，县</w:t>
      </w:r>
      <w:r>
        <w:rPr>
          <w:rFonts w:hint="eastAsia" w:ascii="仿宋" w:hAnsi="仿宋" w:eastAsia="仿宋" w:cs="仿宋"/>
          <w:sz w:val="32"/>
          <w:szCs w:val="32"/>
          <w:lang w:val="en-US" w:eastAsia="zh-CN"/>
        </w:rPr>
        <w:t>政府办</w:t>
      </w:r>
      <w:r>
        <w:rPr>
          <w:rFonts w:hint="eastAsia" w:ascii="仿宋" w:hAnsi="仿宋" w:eastAsia="仿宋" w:cs="仿宋"/>
          <w:sz w:val="32"/>
          <w:szCs w:val="32"/>
        </w:rPr>
        <w:t>对</w:t>
      </w:r>
      <w:r>
        <w:rPr>
          <w:rFonts w:hint="eastAsia" w:ascii="仿宋" w:hAnsi="仿宋" w:eastAsia="仿宋" w:cs="仿宋"/>
          <w:sz w:val="32"/>
          <w:szCs w:val="32"/>
          <w:lang w:eastAsia="zh-CN"/>
        </w:rPr>
        <w:t>项目支出绩效评价工作</w:t>
      </w:r>
      <w:r>
        <w:rPr>
          <w:rFonts w:hint="eastAsia" w:ascii="仿宋" w:hAnsi="仿宋" w:eastAsia="仿宋" w:cs="仿宋"/>
          <w:sz w:val="32"/>
          <w:szCs w:val="32"/>
        </w:rPr>
        <w:t>进行了认真的研究和部署，并以</w:t>
      </w:r>
      <w:r>
        <w:rPr>
          <w:rFonts w:hint="eastAsia" w:ascii="仿宋" w:hAnsi="仿宋" w:eastAsia="仿宋" w:cs="仿宋"/>
          <w:sz w:val="32"/>
          <w:szCs w:val="32"/>
          <w:lang w:eastAsia="zh-CN"/>
        </w:rPr>
        <w:t>办公室</w:t>
      </w:r>
      <w:r>
        <w:rPr>
          <w:rFonts w:hint="eastAsia" w:ascii="仿宋" w:hAnsi="仿宋" w:eastAsia="仿宋" w:cs="仿宋"/>
          <w:sz w:val="32"/>
          <w:szCs w:val="32"/>
        </w:rPr>
        <w:t>牵头组织进行预算资金绩效自</w:t>
      </w:r>
      <w:r>
        <w:rPr>
          <w:rFonts w:hint="eastAsia" w:ascii="仿宋" w:hAnsi="仿宋" w:eastAsia="仿宋" w:cs="仿宋"/>
          <w:sz w:val="32"/>
          <w:szCs w:val="32"/>
          <w:lang w:eastAsia="zh-CN"/>
        </w:rPr>
        <w:t>评</w:t>
      </w:r>
      <w:r>
        <w:rPr>
          <w:rFonts w:hint="eastAsia" w:ascii="仿宋" w:hAnsi="仿宋" w:eastAsia="仿宋" w:cs="仿宋"/>
          <w:sz w:val="32"/>
          <w:szCs w:val="32"/>
        </w:rPr>
        <w:t>。现将有关情况报告如下: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一、项目基本情况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（一）项目基本情况简介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县政府办2020年参与绩效评价的项目共5个，项目支出预算计划128万元。其中：</w:t>
      </w:r>
    </w:p>
    <w:p>
      <w:pPr>
        <w:keepNext w:val="0"/>
        <w:keepLines w:val="0"/>
        <w:pageBreakBefore w:val="0"/>
        <w:kinsoku/>
        <w:wordWrap/>
        <w:overflowPunct/>
        <w:topLinePunct w:val="0"/>
        <w:autoSpaceDE w:val="0"/>
        <w:autoSpaceDN w:val="0"/>
        <w:bidi w:val="0"/>
        <w:adjustRightInd w:val="0"/>
        <w:snapToGrid/>
        <w:ind w:firstLine="640"/>
        <w:jc w:val="left"/>
        <w:textAlignment w:val="baseline"/>
        <w:rPr>
          <w:rFonts w:hint="default" w:ascii="仿宋" w:hAnsi="仿宋" w:eastAsia="仿宋_GB2312" w:cs="仿宋"/>
          <w:sz w:val="32"/>
          <w:szCs w:val="32"/>
          <w:lang w:val="en-US" w:eastAsia="zh-CN"/>
        </w:rPr>
      </w:pPr>
      <w:r>
        <w:rPr>
          <w:rFonts w:hint="eastAsia" w:ascii="仿宋" w:hAnsi="仿宋" w:eastAsia="仿宋" w:cs="仿宋"/>
          <w:sz w:val="32"/>
          <w:szCs w:val="32"/>
          <w:lang w:val="en-US" w:eastAsia="zh-CN"/>
        </w:rPr>
        <w:t>1、</w:t>
      </w:r>
      <w:r>
        <w:rPr>
          <w:rFonts w:hint="eastAsia" w:ascii="仿宋_GB2312" w:hAnsi="仿宋_GB2312" w:eastAsia="仿宋_GB2312"/>
          <w:sz w:val="32"/>
          <w:lang w:eastAsia="zh-CN"/>
        </w:rPr>
        <w:t>电子政务专项经费</w:t>
      </w:r>
      <w:r>
        <w:rPr>
          <w:rFonts w:hint="eastAsia" w:ascii="仿宋" w:hAnsi="仿宋" w:eastAsia="仿宋" w:cs="仿宋"/>
          <w:sz w:val="32"/>
          <w:szCs w:val="32"/>
          <w:lang w:val="en-US" w:eastAsia="zh-CN"/>
        </w:rPr>
        <w:t>42</w:t>
      </w:r>
      <w:r>
        <w:rPr>
          <w:rFonts w:hint="eastAsia" w:ascii="仿宋" w:hAnsi="仿宋" w:eastAsia="仿宋" w:cs="仿宋"/>
          <w:sz w:val="32"/>
          <w:szCs w:val="32"/>
        </w:rPr>
        <w:t>万元：</w:t>
      </w:r>
      <w:r>
        <w:rPr>
          <w:rFonts w:hint="default" w:ascii="Times New Roman" w:hAnsi="Times New Roman" w:eastAsia="仿宋_GB2312" w:cs="Times New Roman"/>
          <w:color w:val="auto"/>
          <w:spacing w:val="11"/>
          <w:sz w:val="32"/>
          <w:szCs w:val="32"/>
          <w:lang w:eastAsia="zh-CN"/>
        </w:rPr>
        <w:t>主要用于负责牵头编制全县政务公开工作规划和年度计划，指导、协调、监督全县政务公开工作，具体承办县政府信息公开工作；负责政务公开工作的调查研究和情况综合等工作</w:t>
      </w:r>
      <w:r>
        <w:rPr>
          <w:rFonts w:hint="eastAsia" w:ascii="Times New Roman" w:hAnsi="Times New Roman" w:eastAsia="仿宋_GB2312" w:cs="Times New Roman"/>
          <w:color w:val="auto"/>
          <w:spacing w:val="11"/>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2、</w:t>
      </w:r>
      <w:r>
        <w:rPr>
          <w:rFonts w:hint="eastAsia" w:ascii="仿宋_GB2312" w:hAnsi="仿宋_GB2312" w:eastAsia="仿宋_GB2312"/>
          <w:sz w:val="32"/>
          <w:lang w:eastAsia="zh-CN"/>
        </w:rPr>
        <w:t>专项文印费</w:t>
      </w:r>
      <w:r>
        <w:rPr>
          <w:rFonts w:hint="eastAsia" w:ascii="仿宋_GB2312" w:hAnsi="仿宋_GB2312" w:eastAsia="仿宋_GB2312"/>
          <w:sz w:val="32"/>
          <w:lang w:val="en-US" w:eastAsia="zh-CN"/>
        </w:rPr>
        <w:t>26万元</w:t>
      </w:r>
      <w:r>
        <w:rPr>
          <w:rFonts w:hint="eastAsia" w:ascii="仿宋" w:hAnsi="仿宋" w:eastAsia="仿宋" w:cs="仿宋"/>
          <w:sz w:val="32"/>
          <w:szCs w:val="32"/>
          <w:lang w:val="en-US" w:eastAsia="zh-CN"/>
        </w:rPr>
        <w:t>：</w:t>
      </w:r>
      <w:r>
        <w:rPr>
          <w:rFonts w:hint="default" w:ascii="Times New Roman" w:hAnsi="Times New Roman" w:eastAsia="仿宋_GB2312" w:cs="Times New Roman"/>
          <w:color w:val="auto"/>
          <w:spacing w:val="11"/>
          <w:sz w:val="32"/>
          <w:szCs w:val="32"/>
          <w:lang w:eastAsia="zh-CN"/>
        </w:rPr>
        <w:t>主要用于全县政府系统公文处理的业务指导和行政机关公文处理有关规定的贯彻落实一级</w:t>
      </w:r>
      <w:r>
        <w:rPr>
          <w:rFonts w:hint="default" w:ascii="Times New Roman" w:hAnsi="Times New Roman" w:eastAsia="仿宋_GB2312" w:cs="Times New Roman"/>
          <w:color w:val="auto"/>
          <w:spacing w:val="11"/>
          <w:sz w:val="32"/>
          <w:szCs w:val="32"/>
        </w:rPr>
        <w:t>政府各类材料、公文打印工作</w:t>
      </w:r>
      <w:r>
        <w:rPr>
          <w:rFonts w:hint="default" w:ascii="Times New Roman" w:hAnsi="Times New Roman" w:eastAsia="仿宋_GB2312" w:cs="Times New Roman"/>
          <w:color w:val="auto"/>
          <w:spacing w:val="11"/>
          <w:sz w:val="32"/>
          <w:szCs w:val="32"/>
          <w:lang w:eastAsia="zh-CN"/>
        </w:rPr>
        <w:t>等方面</w:t>
      </w:r>
      <w:r>
        <w:rPr>
          <w:rFonts w:hint="eastAsia" w:ascii="Times New Roman" w:hAnsi="Times New Roman" w:eastAsia="仿宋_GB2312" w:cs="Times New Roman"/>
          <w:color w:val="auto"/>
          <w:spacing w:val="11"/>
          <w:sz w:val="32"/>
          <w:szCs w:val="32"/>
          <w:lang w:eastAsia="zh-CN"/>
        </w:rPr>
        <w:t>。</w:t>
      </w:r>
      <w:r>
        <w:rPr>
          <w:rFonts w:hint="default" w:ascii="Times New Roman" w:hAnsi="Times New Roman" w:eastAsia="仿宋_GB2312" w:cs="Times New Roman"/>
          <w:sz w:val="32"/>
          <w:szCs w:val="32"/>
          <w:lang w:val="en-US" w:eastAsia="zh-CN"/>
        </w:rPr>
        <w:t>严把</w:t>
      </w:r>
      <w:r>
        <w:rPr>
          <w:rFonts w:hint="eastAsia" w:ascii="Times New Roman" w:hAnsi="Times New Roman" w:eastAsia="仿宋_GB2312" w:cs="Times New Roman"/>
          <w:sz w:val="32"/>
          <w:szCs w:val="32"/>
          <w:lang w:val="en-US" w:eastAsia="zh-CN"/>
        </w:rPr>
        <w:t>办文、办会</w:t>
      </w:r>
      <w:r>
        <w:rPr>
          <w:rFonts w:hint="default" w:ascii="Times New Roman" w:hAnsi="Times New Roman" w:eastAsia="仿宋_GB2312" w:cs="Times New Roman"/>
          <w:sz w:val="32"/>
          <w:szCs w:val="32"/>
          <w:lang w:val="en-US" w:eastAsia="zh-CN"/>
        </w:rPr>
        <w:t>程序关，</w:t>
      </w:r>
      <w:r>
        <w:rPr>
          <w:rFonts w:hint="eastAsia" w:ascii="Times New Roman" w:hAnsi="Times New Roman" w:eastAsia="仿宋_GB2312" w:cs="Times New Roman"/>
          <w:sz w:val="32"/>
          <w:szCs w:val="32"/>
          <w:lang w:val="en-US" w:eastAsia="zh-CN"/>
        </w:rPr>
        <w:t>做实、做细相关工作，</w:t>
      </w:r>
      <w:r>
        <w:rPr>
          <w:rFonts w:hint="eastAsia" w:ascii="仿宋_GB2312" w:hAnsi="仿宋_GB2312" w:eastAsia="仿宋_GB2312" w:cs="仿宋_GB2312"/>
          <w:sz w:val="32"/>
          <w:szCs w:val="32"/>
          <w:lang w:val="en-US" w:eastAsia="zh-CN"/>
        </w:rPr>
        <w:t>全年累计制发各类公文200余件，</w:t>
      </w:r>
      <w:r>
        <w:rPr>
          <w:rFonts w:hint="default" w:ascii="Times New Roman" w:hAnsi="Times New Roman" w:eastAsia="仿宋_GB2312" w:cs="Times New Roman"/>
          <w:sz w:val="32"/>
          <w:szCs w:val="32"/>
          <w:lang w:val="en-US" w:eastAsia="zh-CN"/>
        </w:rPr>
        <w:t>筹办县政府常务会议18次、党组会议12次，</w:t>
      </w:r>
      <w:r>
        <w:rPr>
          <w:rFonts w:hint="eastAsia" w:ascii="仿宋_GB2312" w:hAnsi="仿宋_GB2312" w:eastAsia="仿宋_GB2312" w:cs="仿宋_GB2312"/>
          <w:sz w:val="32"/>
          <w:szCs w:val="32"/>
          <w:lang w:val="en-US" w:eastAsia="zh-CN"/>
        </w:rPr>
        <w:t>未出现任何纰漏。</w:t>
      </w:r>
    </w:p>
    <w:p>
      <w:pPr>
        <w:autoSpaceDE w:val="0"/>
        <w:autoSpaceDN w:val="0"/>
        <w:adjustRightInd w:val="0"/>
        <w:ind w:firstLine="640"/>
        <w:jc w:val="left"/>
        <w:textAlignment w:val="baseline"/>
        <w:rPr>
          <w:rFonts w:hint="eastAsia"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3、</w:t>
      </w:r>
      <w:r>
        <w:rPr>
          <w:rFonts w:hint="eastAsia" w:ascii="仿宋_GB2312" w:hAnsi="仿宋_GB2312" w:eastAsia="仿宋_GB2312"/>
          <w:sz w:val="32"/>
        </w:rPr>
        <w:t>调研督查</w:t>
      </w:r>
      <w:r>
        <w:rPr>
          <w:rFonts w:hint="eastAsia" w:ascii="仿宋_GB2312" w:hAnsi="仿宋_GB2312" w:eastAsia="仿宋_GB2312"/>
          <w:sz w:val="32"/>
          <w:lang w:eastAsia="zh-CN"/>
        </w:rPr>
        <w:t>及专项工作经费</w:t>
      </w:r>
      <w:r>
        <w:rPr>
          <w:rFonts w:hint="eastAsia" w:ascii="仿宋_GB2312" w:hAnsi="仿宋_GB2312" w:eastAsia="仿宋_GB2312"/>
          <w:sz w:val="32"/>
          <w:lang w:val="en-US" w:eastAsia="zh-CN"/>
        </w:rPr>
        <w:t>65</w:t>
      </w:r>
      <w:r>
        <w:rPr>
          <w:rFonts w:hint="eastAsia" w:ascii="仿宋_GB2312" w:hAnsi="仿宋_GB2312" w:eastAsia="仿宋_GB2312"/>
          <w:sz w:val="32"/>
        </w:rPr>
        <w:t>万元</w:t>
      </w:r>
      <w:r>
        <w:rPr>
          <w:rFonts w:hint="eastAsia" w:ascii="仿宋" w:hAnsi="仿宋" w:eastAsia="仿宋" w:cs="仿宋"/>
          <w:sz w:val="32"/>
          <w:szCs w:val="32"/>
          <w:lang w:val="en-US" w:eastAsia="zh-CN"/>
        </w:rPr>
        <w:t>：</w:t>
      </w:r>
      <w:r>
        <w:rPr>
          <w:rFonts w:hint="default" w:ascii="Times New Roman" w:hAnsi="Times New Roman" w:eastAsia="仿宋_GB2312" w:cs="Times New Roman"/>
          <w:sz w:val="32"/>
          <w:szCs w:val="32"/>
          <w:lang w:val="en-US" w:eastAsia="zh-CN"/>
        </w:rPr>
        <w:t>积极协助县政府主要领导和分管领导参与协调各项工作，</w:t>
      </w:r>
      <w:r>
        <w:rPr>
          <w:rFonts w:hint="eastAsia" w:ascii="Times New Roman" w:hAnsi="Times New Roman" w:eastAsia="仿宋_GB2312" w:cs="Times New Roman"/>
          <w:sz w:val="32"/>
          <w:szCs w:val="32"/>
          <w:lang w:val="en-US" w:eastAsia="zh-CN"/>
        </w:rPr>
        <w:t>发挥好政府领导与干群之间的桥梁纽带作用，全年召开专题协调会200余次。</w:t>
      </w:r>
      <w:r>
        <w:rPr>
          <w:rFonts w:hint="default" w:ascii="Times New Roman" w:hAnsi="Times New Roman" w:eastAsia="仿宋_GB2312" w:cs="Times New Roman"/>
          <w:sz w:val="32"/>
          <w:szCs w:val="32"/>
          <w:lang w:val="en-US" w:eastAsia="zh-CN"/>
        </w:rPr>
        <w:t>坚持从早、从严、从细筹划活动方案</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安排</w:t>
      </w:r>
      <w:r>
        <w:rPr>
          <w:rFonts w:hint="eastAsia" w:ascii="Times New Roman" w:hAnsi="Times New Roman" w:eastAsia="仿宋_GB2312" w:cs="Times New Roman"/>
          <w:sz w:val="32"/>
          <w:szCs w:val="32"/>
          <w:lang w:val="en-US" w:eastAsia="zh-CN"/>
        </w:rPr>
        <w:t>接待，全年组织</w:t>
      </w:r>
      <w:r>
        <w:rPr>
          <w:rFonts w:hint="default" w:ascii="Times New Roman" w:hAnsi="Times New Roman" w:eastAsia="仿宋_GB2312" w:cs="Times New Roman"/>
          <w:sz w:val="32"/>
          <w:szCs w:val="32"/>
          <w:lang w:val="en-US" w:eastAsia="zh-CN"/>
        </w:rPr>
        <w:t>调研活动20余次，迎接省、市领导调研20余次。</w:t>
      </w:r>
      <w:r>
        <w:rPr>
          <w:rFonts w:hint="eastAsia" w:ascii="Times New Roman" w:hAnsi="Times New Roman" w:eastAsia="仿宋_GB2312" w:cs="Times New Roman"/>
          <w:sz w:val="32"/>
          <w:szCs w:val="32"/>
          <w:lang w:val="en-US" w:eastAsia="zh-CN"/>
        </w:rPr>
        <w:t>全年</w:t>
      </w:r>
      <w:r>
        <w:rPr>
          <w:rFonts w:hint="default" w:ascii="Times New Roman" w:hAnsi="Times New Roman" w:eastAsia="仿宋_GB2312" w:cs="Times New Roman"/>
          <w:kern w:val="2"/>
          <w:sz w:val="32"/>
          <w:szCs w:val="32"/>
          <w:lang w:val="en-US" w:eastAsia="zh-CN" w:bidi="ar-SA"/>
        </w:rPr>
        <w:t>共开展大型督查5次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专项督查10次，起草</w:t>
      </w:r>
      <w:r>
        <w:rPr>
          <w:rFonts w:hint="eastAsia" w:ascii="Times New Roman" w:hAnsi="Times New Roman" w:eastAsia="仿宋_GB2312" w:cs="Times New Roman"/>
          <w:kern w:val="2"/>
          <w:sz w:val="32"/>
          <w:szCs w:val="32"/>
          <w:lang w:val="en-US" w:eastAsia="zh-CN" w:bidi="ar-SA"/>
        </w:rPr>
        <w:t>督查</w:t>
      </w:r>
      <w:r>
        <w:rPr>
          <w:rFonts w:hint="default" w:ascii="Times New Roman" w:hAnsi="Times New Roman" w:eastAsia="仿宋_GB2312" w:cs="Times New Roman"/>
          <w:kern w:val="2"/>
          <w:sz w:val="32"/>
          <w:szCs w:val="32"/>
          <w:lang w:val="en-US" w:eastAsia="zh-CN" w:bidi="ar-SA"/>
        </w:rPr>
        <w:t>文件、通知、通报19份。</w:t>
      </w:r>
      <w:r>
        <w:rPr>
          <w:rFonts w:hint="eastAsia" w:ascii="Times New Roman" w:hAnsi="Times New Roman" w:eastAsia="仿宋_GB2312" w:cs="Times New Roman"/>
          <w:kern w:val="2"/>
          <w:sz w:val="32"/>
          <w:szCs w:val="32"/>
          <w:lang w:val="en-US" w:eastAsia="zh-CN" w:bidi="ar-SA"/>
        </w:rPr>
        <w:t>其中，</w:t>
      </w:r>
      <w:r>
        <w:rPr>
          <w:rFonts w:hint="default" w:ascii="Times New Roman" w:hAnsi="Times New Roman" w:eastAsia="仿宋_GB2312" w:cs="Times New Roman"/>
          <w:kern w:val="2"/>
          <w:sz w:val="32"/>
          <w:szCs w:val="32"/>
          <w:lang w:val="en-US" w:eastAsia="zh-CN" w:bidi="ar-SA"/>
        </w:rPr>
        <w:t>针对</w:t>
      </w:r>
      <w:r>
        <w:rPr>
          <w:rFonts w:hint="eastAsia" w:ascii="Times New Roman" w:hAnsi="Times New Roman" w:eastAsia="仿宋_GB2312" w:cs="Times New Roman"/>
          <w:kern w:val="2"/>
          <w:sz w:val="32"/>
          <w:szCs w:val="32"/>
          <w:lang w:val="en-US" w:eastAsia="zh-CN" w:bidi="ar-SA"/>
        </w:rPr>
        <w:t>重点民生实事</w:t>
      </w:r>
      <w:r>
        <w:rPr>
          <w:rFonts w:hint="default" w:ascii="Times New Roman" w:hAnsi="Times New Roman" w:eastAsia="仿宋_GB2312" w:cs="Times New Roman"/>
          <w:kern w:val="2"/>
          <w:sz w:val="32"/>
          <w:szCs w:val="32"/>
          <w:lang w:val="en-US" w:eastAsia="zh-CN" w:bidi="ar-SA"/>
        </w:rPr>
        <w:t>开展专项督查，顺利完成省市下达的11个方面19项指标的重点民生实事工作任务。</w:t>
      </w:r>
    </w:p>
    <w:p>
      <w:pPr>
        <w:keepNext w:val="0"/>
        <w:keepLines w:val="0"/>
        <w:pageBreakBefore w:val="0"/>
        <w:widowControl/>
        <w:suppressLineNumbers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仿宋" w:hAnsi="仿宋" w:eastAsia="仿宋" w:cs="仿宋"/>
          <w:sz w:val="32"/>
          <w:szCs w:val="32"/>
          <w:lang w:val="en-US" w:eastAsia="zh-CN"/>
        </w:rPr>
        <w:t>4、</w:t>
      </w:r>
      <w:r>
        <w:rPr>
          <w:rFonts w:hint="eastAsia" w:ascii="仿宋_GB2312" w:hAnsi="仿宋_GB2312" w:eastAsia="仿宋_GB2312"/>
          <w:sz w:val="32"/>
          <w:lang w:val="en-US" w:eastAsia="zh-CN"/>
        </w:rPr>
        <w:t>热线办、金融办、对口扶贫及老干经费19万元</w:t>
      </w:r>
      <w:r>
        <w:rPr>
          <w:rFonts w:hint="eastAsia" w:ascii="仿宋" w:hAnsi="仿宋" w:eastAsia="仿宋" w:cs="仿宋"/>
          <w:sz w:val="32"/>
          <w:szCs w:val="32"/>
        </w:rPr>
        <w:t>：</w:t>
      </w:r>
      <w:r>
        <w:rPr>
          <w:rFonts w:hint="default" w:ascii="Times New Roman" w:hAnsi="Times New Roman" w:eastAsia="楷体_GB2312" w:cs="Times New Roman"/>
          <w:b w:val="0"/>
          <w:bCs w:val="0"/>
          <w:sz w:val="32"/>
          <w:szCs w:val="32"/>
          <w:lang w:val="en-US" w:eastAsia="zh-CN"/>
        </w:rPr>
        <w:t>值班工作常抓不懈。</w:t>
      </w:r>
      <w:r>
        <w:rPr>
          <w:rFonts w:hint="eastAsia" w:ascii="仿宋_GB2312" w:hAnsi="仿宋_GB2312" w:eastAsia="仿宋_GB2312" w:cs="仿宋_GB2312"/>
          <w:kern w:val="2"/>
          <w:sz w:val="32"/>
          <w:szCs w:val="32"/>
          <w:lang w:val="en-US" w:eastAsia="zh-CN" w:bidi="ar-SA"/>
        </w:rPr>
        <w:t>抓好上传下达，严格落实了24小时值班制度。全年</w:t>
      </w:r>
      <w:r>
        <w:rPr>
          <w:rFonts w:hint="default" w:ascii="Times New Roman" w:hAnsi="Times New Roman" w:eastAsia="仿宋_GB2312" w:cs="Times New Roman"/>
          <w:sz w:val="32"/>
          <w:szCs w:val="32"/>
          <w:lang w:eastAsia="zh-CN"/>
        </w:rPr>
        <w:t>共下发通知</w:t>
      </w:r>
      <w:r>
        <w:rPr>
          <w:rFonts w:hint="default" w:ascii="Times New Roman" w:hAnsi="Times New Roman" w:eastAsia="仿宋_GB2312" w:cs="Times New Roman"/>
          <w:sz w:val="32"/>
          <w:szCs w:val="32"/>
          <w:lang w:val="en-US" w:eastAsia="zh-CN"/>
        </w:rPr>
        <w:t>1430</w:t>
      </w:r>
      <w:r>
        <w:rPr>
          <w:rFonts w:hint="default" w:ascii="Times New Roman" w:hAnsi="Times New Roman" w:eastAsia="仿宋_GB2312" w:cs="Times New Roman"/>
          <w:sz w:val="32"/>
          <w:szCs w:val="32"/>
          <w:lang w:eastAsia="zh-CN"/>
        </w:rPr>
        <w:t>余份，接听热线电话</w:t>
      </w:r>
      <w:r>
        <w:rPr>
          <w:rFonts w:hint="default" w:ascii="Times New Roman" w:hAnsi="Times New Roman" w:eastAsia="仿宋_GB2312" w:cs="Times New Roman"/>
          <w:sz w:val="32"/>
          <w:szCs w:val="32"/>
          <w:lang w:val="en-US" w:eastAsia="zh-CN"/>
        </w:rPr>
        <w:t>4350</w:t>
      </w:r>
      <w:r>
        <w:rPr>
          <w:rFonts w:hint="default" w:ascii="Times New Roman" w:hAnsi="Times New Roman" w:eastAsia="仿宋_GB2312" w:cs="Times New Roman"/>
          <w:sz w:val="32"/>
          <w:szCs w:val="32"/>
          <w:lang w:eastAsia="zh-CN"/>
        </w:rPr>
        <w:t>余通</w:t>
      </w:r>
      <w:r>
        <w:rPr>
          <w:rFonts w:hint="eastAsia" w:ascii="Times New Roman" w:hAnsi="Times New Roman" w:eastAsia="仿宋_GB2312" w:cs="Times New Roman"/>
          <w:sz w:val="32"/>
          <w:szCs w:val="32"/>
          <w:lang w:eastAsia="zh-CN"/>
        </w:rPr>
        <w:t>。在重大节日和特别防护期，实施领导带头值班制度，为确保全县社会稳定作出了积极贡献。</w:t>
      </w:r>
      <w:r>
        <w:rPr>
          <w:rFonts w:hint="default" w:ascii="Times New Roman" w:hAnsi="Times New Roman" w:eastAsia="楷体_GB2312" w:cs="Times New Roman"/>
          <w:b w:val="0"/>
          <w:bCs w:val="0"/>
          <w:kern w:val="2"/>
          <w:sz w:val="32"/>
          <w:szCs w:val="32"/>
          <w:lang w:val="en-US" w:eastAsia="zh-CN" w:bidi="ar-SA"/>
        </w:rPr>
        <w:t>金融</w:t>
      </w:r>
      <w:r>
        <w:rPr>
          <w:rFonts w:hint="eastAsia" w:ascii="Times New Roman" w:hAnsi="Times New Roman" w:eastAsia="楷体_GB2312" w:cs="Times New Roman"/>
          <w:b w:val="0"/>
          <w:bCs w:val="0"/>
          <w:kern w:val="2"/>
          <w:sz w:val="32"/>
          <w:szCs w:val="32"/>
          <w:lang w:val="en-US" w:eastAsia="zh-CN" w:bidi="ar-SA"/>
        </w:rPr>
        <w:t>工作有效改善</w:t>
      </w:r>
      <w:r>
        <w:rPr>
          <w:rFonts w:hint="default" w:ascii="Times New Roman" w:hAnsi="Times New Roman" w:eastAsia="楷体_GB2312" w:cs="Times New Roman"/>
          <w:b w:val="0"/>
          <w:bCs w:val="0"/>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制定了《2020年金融工作要点》《关于金融支持疫情防控及企业复工复产的实施意见》等文件，</w:t>
      </w:r>
      <w:r>
        <w:rPr>
          <w:rFonts w:hint="eastAsia" w:ascii="Times New Roman" w:hAnsi="Times New Roman" w:eastAsia="仿宋_GB2312" w:cs="Times New Roman"/>
          <w:kern w:val="2"/>
          <w:sz w:val="32"/>
          <w:szCs w:val="32"/>
          <w:lang w:val="en-US" w:eastAsia="zh-CN" w:bidi="ar-SA"/>
        </w:rPr>
        <w:t>有序推进不良贷款清收、增资扩股和资产置换工作。多次协调组织农商行风险化解工作调度会、讨论会，联合</w:t>
      </w:r>
      <w:r>
        <w:rPr>
          <w:rFonts w:hint="default" w:ascii="Times New Roman" w:hAnsi="Times New Roman" w:eastAsia="仿宋_GB2312" w:cs="Times New Roman"/>
          <w:kern w:val="2"/>
          <w:sz w:val="32"/>
          <w:szCs w:val="32"/>
          <w:lang w:val="en-US" w:eastAsia="zh-CN" w:bidi="ar-SA"/>
        </w:rPr>
        <w:t>开展处非宣传4次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全县全年存贷比为72.6%，比上年提高11.4个百分点，位居全市四县市第一，有力支持了南县经济发展。</w:t>
      </w:r>
    </w:p>
    <w:p>
      <w:pPr>
        <w:pStyle w:val="2"/>
        <w:keepNext w:val="0"/>
        <w:keepLines w:val="0"/>
        <w:pageBreakBefore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组织离退休老干部参加老干局、组织部开展的重要活动；支持离退休党支部开展党建活动，保障离退休党支部的工作经费；全年节假日特别是重大节日入春节、重阳节期间，慰问离退休老干部；对生病住院的离退休老干进行走访慰问；确保离休干部工资及生活待遇落实到位。</w:t>
      </w:r>
    </w:p>
    <w:p>
      <w:pPr>
        <w:widowControl w:val="0"/>
        <w:spacing w:line="265" w:lineRule="auto"/>
        <w:ind w:firstLine="640" w:firstLineChars="200"/>
        <w:jc w:val="left"/>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5、派出驻检组经费5万元。确保派出驻检组工作正常开展。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（二）绩效目标设定及指标完成情况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w:t>
      </w:r>
      <w:r>
        <w:rPr>
          <w:rFonts w:hint="default" w:ascii="仿宋" w:hAnsi="仿宋" w:eastAsia="仿宋" w:cs="仿宋"/>
          <w:sz w:val="32"/>
          <w:szCs w:val="32"/>
          <w:lang w:val="en-US" w:eastAsia="zh-CN"/>
        </w:rPr>
        <w:t>年度，</w:t>
      </w:r>
      <w:r>
        <w:rPr>
          <w:rFonts w:hint="eastAsia" w:ascii="仿宋" w:hAnsi="仿宋" w:eastAsia="仿宋" w:cs="仿宋"/>
          <w:sz w:val="32"/>
          <w:szCs w:val="32"/>
          <w:lang w:val="en-US" w:eastAsia="zh-CN"/>
        </w:rPr>
        <w:t>县政府办</w:t>
      </w:r>
      <w:r>
        <w:rPr>
          <w:rFonts w:hint="default" w:ascii="仿宋" w:hAnsi="仿宋" w:eastAsia="仿宋" w:cs="仿宋"/>
          <w:sz w:val="32"/>
          <w:szCs w:val="32"/>
          <w:lang w:val="en-US" w:eastAsia="zh-CN"/>
        </w:rPr>
        <w:t>坚决履行职能职责，绩效明显，有效完成了本年度绩效目标。项目所有开支均按照我单位财务管理制度执行，资金的使用严格把关，整个项目的运行完全按照有关规定执行。单位内部不定期进行抽查，严格人员作风，不存在违规违法的问题。各个项目资金使用与具体项目实施内容相符，绩效总目标和阶段性目标都已按照计划完成，未逾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二、绩效评价工作情况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 w:lineRule="atLeast"/>
        <w:ind w:right="0" w:rightChars="0" w:firstLine="643"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rPr>
        <w:t> </w:t>
      </w:r>
      <w:r>
        <w:rPr>
          <w:rFonts w:hint="eastAsia" w:ascii="楷体" w:hAnsi="楷体" w:eastAsia="楷体" w:cs="楷体"/>
          <w:b/>
          <w:bCs/>
          <w:kern w:val="2"/>
          <w:sz w:val="32"/>
          <w:szCs w:val="32"/>
          <w:lang w:val="en-US" w:eastAsia="zh-CN" w:bidi="ar-SA"/>
        </w:rPr>
        <w:t>（一）绩效评价目的</w:t>
      </w:r>
      <w:r>
        <w:rPr>
          <w:rFonts w:hint="eastAsia" w:ascii="楷体" w:hAnsi="楷体" w:eastAsia="楷体" w:cs="楷体"/>
          <w:kern w:val="2"/>
          <w:sz w:val="32"/>
          <w:szCs w:val="32"/>
          <w:lang w:val="en-US" w:eastAsia="zh-CN" w:bidi="ar-SA"/>
        </w:rPr>
        <w:t>：</w:t>
      </w:r>
      <w:r>
        <w:rPr>
          <w:rFonts w:hint="eastAsia" w:ascii="仿宋" w:hAnsi="仿宋" w:eastAsia="仿宋" w:cs="仿宋"/>
          <w:kern w:val="2"/>
          <w:sz w:val="32"/>
          <w:szCs w:val="32"/>
          <w:lang w:val="en-US" w:eastAsia="zh-CN" w:bidi="ar-SA"/>
        </w:rPr>
        <w:t>通过对县政府办项目专项资金的绩效评价，了解项目经费的资金来源、使用和管理情况、项目组织和实施情况，检验项目投入是否达到预期目标，总结经验，分析问题，强化项目资金管理，进一步提升预算项目资金使用成效。</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仿宋" w:hAnsi="仿宋" w:eastAsia="仿宋" w:cs="仿宋"/>
          <w:b w:val="0"/>
          <w:bCs w:val="0"/>
          <w:kern w:val="2"/>
          <w:sz w:val="32"/>
          <w:szCs w:val="32"/>
          <w:lang w:val="en-US" w:eastAsia="zh-CN" w:bidi="ar-SA"/>
        </w:rPr>
      </w:pPr>
      <w:r>
        <w:rPr>
          <w:rFonts w:hint="eastAsia" w:ascii="楷体" w:hAnsi="楷体" w:eastAsia="楷体" w:cs="楷体"/>
          <w:b/>
          <w:bCs/>
          <w:kern w:val="2"/>
          <w:sz w:val="32"/>
          <w:szCs w:val="32"/>
          <w:lang w:val="en-US" w:eastAsia="zh-CN" w:bidi="ar-SA"/>
        </w:rPr>
        <w:t>资金到位情况：</w:t>
      </w:r>
      <w:r>
        <w:rPr>
          <w:rFonts w:hint="eastAsia" w:ascii="仿宋" w:hAnsi="仿宋" w:eastAsia="仿宋" w:cs="仿宋"/>
          <w:b w:val="0"/>
          <w:bCs w:val="0"/>
          <w:kern w:val="2"/>
          <w:sz w:val="32"/>
          <w:szCs w:val="32"/>
          <w:lang w:val="en-US" w:eastAsia="zh-CN" w:bidi="ar-SA"/>
        </w:rPr>
        <w:t>2020年部门预算专项资金共计157万元，实际到位资金157万元，资金到位率100%。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仿宋" w:hAnsi="仿宋" w:eastAsia="仿宋" w:cs="仿宋"/>
          <w:b/>
          <w:bCs/>
          <w:kern w:val="2"/>
          <w:sz w:val="32"/>
          <w:szCs w:val="32"/>
          <w:lang w:val="en-US" w:eastAsia="zh-CN" w:bidi="ar-SA"/>
        </w:rPr>
      </w:pPr>
      <w:r>
        <w:rPr>
          <w:rFonts w:hint="eastAsia" w:ascii="楷体" w:hAnsi="楷体" w:eastAsia="楷体" w:cs="楷体"/>
          <w:b/>
          <w:bCs/>
          <w:kern w:val="2"/>
          <w:sz w:val="32"/>
          <w:szCs w:val="32"/>
          <w:lang w:val="en-US" w:eastAsia="zh-CN" w:bidi="ar-SA"/>
        </w:rPr>
        <w:t>（三）资金使用情况：</w:t>
      </w:r>
      <w:r>
        <w:rPr>
          <w:rFonts w:hint="eastAsia" w:ascii="仿宋" w:hAnsi="仿宋" w:eastAsia="仿宋" w:cs="仿宋"/>
          <w:b w:val="0"/>
          <w:bCs w:val="0"/>
          <w:kern w:val="2"/>
          <w:sz w:val="32"/>
          <w:szCs w:val="32"/>
          <w:lang w:val="en-US" w:eastAsia="zh-CN" w:bidi="ar-SA"/>
        </w:rPr>
        <w:t>专项资金共计支出120.5万元，全部用于各项工作的开展。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）项目组织情况分析：</w:t>
      </w:r>
      <w:r>
        <w:rPr>
          <w:rFonts w:hint="eastAsia" w:ascii="仿宋" w:hAnsi="仿宋" w:eastAsia="仿宋" w:cs="仿宋"/>
          <w:sz w:val="32"/>
          <w:szCs w:val="32"/>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）项目管理情况分析：</w:t>
      </w:r>
      <w:r>
        <w:rPr>
          <w:rFonts w:hint="eastAsia" w:ascii="仿宋" w:hAnsi="仿宋" w:eastAsia="仿宋" w:cs="仿宋"/>
          <w:sz w:val="32"/>
          <w:szCs w:val="32"/>
        </w:rPr>
        <w:t>在项目资金使用管理上，</w:t>
      </w:r>
      <w:r>
        <w:rPr>
          <w:rFonts w:hint="eastAsia" w:ascii="仿宋" w:hAnsi="仿宋" w:eastAsia="仿宋" w:cs="仿宋"/>
          <w:sz w:val="32"/>
          <w:szCs w:val="32"/>
          <w:lang w:eastAsia="zh-CN"/>
        </w:rPr>
        <w:t>机关</w:t>
      </w:r>
      <w:r>
        <w:rPr>
          <w:rFonts w:hint="eastAsia" w:ascii="仿宋" w:hAnsi="仿宋" w:eastAsia="仿宋" w:cs="仿宋"/>
          <w:sz w:val="32"/>
          <w:szCs w:val="32"/>
        </w:rPr>
        <w:t>一直按照国家财经法规和内部财务管理制度的规定开支。资金结付有完整的审批程序和手续，按照财经制度的有关要求，做到专款专用，单位</w:t>
      </w:r>
      <w:r>
        <w:rPr>
          <w:rFonts w:hint="eastAsia" w:ascii="仿宋" w:hAnsi="仿宋" w:eastAsia="仿宋" w:cs="仿宋"/>
          <w:sz w:val="32"/>
          <w:szCs w:val="32"/>
          <w:lang w:eastAsia="zh-CN"/>
        </w:rPr>
        <w:t>会审联签</w:t>
      </w:r>
      <w:r>
        <w:rPr>
          <w:rFonts w:hint="eastAsia" w:ascii="仿宋" w:hAnsi="仿宋" w:eastAsia="仿宋" w:cs="仿宋"/>
          <w:sz w:val="32"/>
          <w:szCs w:val="32"/>
          <w:lang w:val="en-US" w:eastAsia="zh-CN"/>
        </w:rPr>
        <w:t>小组</w:t>
      </w:r>
      <w:r>
        <w:rPr>
          <w:rFonts w:hint="eastAsia" w:ascii="仿宋" w:hAnsi="仿宋" w:eastAsia="仿宋" w:cs="仿宋"/>
          <w:sz w:val="32"/>
          <w:szCs w:val="32"/>
        </w:rPr>
        <w:t>对资金的使用进行全程监督，保证资金使用的合规性。资金使用无截留、挤占、挪用、虚列支出等情况。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三、项目绩效情况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根据文件精神，关于项目资金的绩效</w:t>
      </w:r>
      <w:r>
        <w:rPr>
          <w:rFonts w:hint="eastAsia" w:ascii="仿宋" w:hAnsi="仿宋" w:eastAsia="仿宋" w:cs="仿宋"/>
          <w:sz w:val="32"/>
          <w:szCs w:val="32"/>
          <w:lang w:eastAsia="zh-CN"/>
        </w:rPr>
        <w:t>情况如下</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项目立项依据为《中共中央国务院关于全面实施预算绩效管理的意见》</w:t>
      </w:r>
      <w:r>
        <w:rPr>
          <w:rFonts w:hint="eastAsia" w:ascii="仿宋" w:hAnsi="仿宋" w:eastAsia="仿宋" w:cs="仿宋"/>
          <w:sz w:val="32"/>
          <w:szCs w:val="32"/>
          <w:lang w:eastAsia="zh-CN"/>
        </w:rPr>
        <w:t>（中发〔2018〕34 号）、《中共湖南省委办公厅 湖南省人民政府办公厅关于全面实施预算绩效管理的实施意见》（湘办发〔2019〕</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 xml:space="preserve"> 号）和《南县人民政府关于全面推进预算绩效管理的意见》（南政发〔2014〕7 号）等文件和其他有关法律法规。</w:t>
      </w:r>
      <w:r>
        <w:rPr>
          <w:rFonts w:hint="eastAsia" w:ascii="仿宋" w:hAnsi="仿宋" w:eastAsia="仿宋" w:cs="仿宋"/>
          <w:sz w:val="32"/>
          <w:szCs w:val="32"/>
          <w:lang w:val="en-US" w:eastAsia="zh-CN"/>
        </w:rPr>
        <w:t>县政府办</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个专项，从项目立项、资金落实、业务管理到财务管理、项目产出、项目效益，</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项二级指标得分都比较高,总分为9</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分</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项目实施进度计划开始时间为20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月1日，计划完成时间为</w:t>
      </w:r>
      <w:r>
        <w:rPr>
          <w:rFonts w:hint="eastAsia" w:ascii="仿宋" w:hAnsi="仿宋" w:eastAsia="仿宋" w:cs="仿宋"/>
          <w:sz w:val="32"/>
          <w:szCs w:val="32"/>
          <w:lang w:val="en-US" w:eastAsia="zh-CN"/>
        </w:rPr>
        <w:t>2020</w:t>
      </w:r>
      <w:r>
        <w:rPr>
          <w:rFonts w:hint="eastAsia" w:ascii="仿宋" w:hAnsi="仿宋" w:eastAsia="仿宋" w:cs="仿宋"/>
          <w:sz w:val="32"/>
          <w:szCs w:val="32"/>
        </w:rPr>
        <w:t>年12月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项目长期绩效目标是</w:t>
      </w:r>
      <w:r>
        <w:rPr>
          <w:rFonts w:hint="eastAsia" w:ascii="仿宋" w:hAnsi="仿宋" w:eastAsia="仿宋" w:cs="仿宋"/>
          <w:sz w:val="32"/>
          <w:szCs w:val="32"/>
          <w:lang w:eastAsia="zh-CN"/>
        </w:rPr>
        <w:t>在预算范围内开展各项工作</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项目年度绩效目标</w:t>
      </w:r>
      <w:r>
        <w:rPr>
          <w:rFonts w:hint="eastAsia" w:ascii="仿宋" w:hAnsi="仿宋" w:eastAsia="仿宋" w:cs="仿宋"/>
          <w:sz w:val="32"/>
          <w:szCs w:val="32"/>
          <w:lang w:eastAsia="zh-CN"/>
        </w:rPr>
        <w:t>，</w:t>
      </w:r>
      <w:r>
        <w:rPr>
          <w:rFonts w:hint="eastAsia" w:ascii="仿宋" w:hAnsi="仿宋" w:eastAsia="仿宋" w:cs="仿宋"/>
          <w:sz w:val="32"/>
          <w:szCs w:val="32"/>
        </w:rPr>
        <w:t>主要是</w:t>
      </w:r>
      <w:r>
        <w:rPr>
          <w:rFonts w:hint="eastAsia" w:ascii="仿宋" w:hAnsi="仿宋" w:eastAsia="仿宋" w:cs="仿宋"/>
          <w:sz w:val="32"/>
          <w:szCs w:val="32"/>
          <w:lang w:eastAsia="zh-CN"/>
        </w:rPr>
        <w:t>将围绕“全过程、全方位、全覆盖”预算绩效管理体系，保证全面完成各项目标。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四、存在的问题</w:t>
      </w:r>
    </w:p>
    <w:p>
      <w:pPr>
        <w:autoSpaceDE w:val="0"/>
        <w:autoSpaceDN w:val="0"/>
        <w:adjustRightInd w:val="0"/>
        <w:ind w:firstLine="640"/>
        <w:jc w:val="left"/>
        <w:textAlignment w:val="baseline"/>
        <w:rPr>
          <w:rFonts w:hint="eastAsia" w:ascii="仿宋" w:hAnsi="仿宋" w:eastAsia="仿宋" w:cs="仿宋"/>
          <w:sz w:val="32"/>
          <w:szCs w:val="32"/>
        </w:rPr>
      </w:pPr>
      <w:r>
        <w:rPr>
          <w:rFonts w:hint="eastAsia" w:ascii="仿宋" w:hAnsi="仿宋" w:eastAsia="仿宋" w:cs="仿宋"/>
          <w:sz w:val="32"/>
          <w:szCs w:val="32"/>
        </w:rPr>
        <w:t>通过自查和自评，</w:t>
      </w:r>
      <w:r>
        <w:rPr>
          <w:rFonts w:hint="eastAsia" w:ascii="仿宋" w:hAnsi="仿宋" w:eastAsia="仿宋" w:cs="仿宋"/>
          <w:sz w:val="32"/>
          <w:szCs w:val="32"/>
          <w:lang w:val="en-US" w:eastAsia="zh-CN"/>
        </w:rPr>
        <w:t>县政府办对</w:t>
      </w:r>
      <w:r>
        <w:rPr>
          <w:rFonts w:hint="eastAsia" w:ascii="仿宋" w:hAnsi="仿宋" w:eastAsia="仿宋" w:cs="仿宋"/>
          <w:sz w:val="32"/>
          <w:szCs w:val="32"/>
        </w:rPr>
        <w:t>专项资金管理能严格遵守财经纪律和财务制度，但是仍然存在未将总体绩效目标进行细化和量化，未通过清晰、可衡量的指标值予以体现。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无</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320" w:firstLineChars="1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南县人民政府办公室</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line="560" w:lineRule="exact"/>
        <w:ind w:firstLine="560"/>
        <w:rPr>
          <w:rFonts w:hint="eastAsia" w:ascii="黑体" w:hAnsi="黑体" w:eastAsia="黑体"/>
          <w:color w:val="000000"/>
          <w:sz w:val="28"/>
          <w:szCs w:val="28"/>
        </w:rPr>
      </w:pPr>
      <w:r>
        <w:rPr>
          <w:rFonts w:hint="eastAsia" w:ascii="黑体" w:hAnsi="黑体" w:eastAsia="黑体"/>
          <w:color w:val="000000"/>
          <w:sz w:val="28"/>
          <w:szCs w:val="28"/>
        </w:rPr>
        <w:t>附件</w:t>
      </w:r>
    </w:p>
    <w:p>
      <w:pPr>
        <w:spacing w:line="6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内容</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过程</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依据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程序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办法</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结果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使用</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机构</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制度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绩效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数量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质量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成本</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经济</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社会</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环境</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可持续影响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服务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对象满意度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hint="eastAsia" w:ascii="仿宋_GB2312" w:hAnsi="宋体"/>
          <w:color w:val="000000"/>
        </w:rPr>
      </w:pPr>
      <w:r>
        <w:rPr>
          <w:rFonts w:hint="eastAsia" w:ascii="仿宋_GB2312" w:hAnsi="宋体"/>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ind w:firstLine="640"/>
      </w:pPr>
    </w:p>
    <w:p>
      <w:pPr>
        <w:pStyle w:val="2"/>
        <w:rPr>
          <w:rFonts w:hint="eastAsia" w:ascii="仿宋" w:hAnsi="仿宋" w:eastAsia="仿宋" w:cs="仿宋"/>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bCs/>
          <w:i w:val="0"/>
          <w:caps w:val="0"/>
          <w:color w:val="auto"/>
          <w:spacing w:val="0"/>
          <w:sz w:val="48"/>
          <w:szCs w:val="48"/>
          <w:shd w:val="clear" w:fill="FFFFFF"/>
        </w:rPr>
      </w:pPr>
    </w:p>
    <w:p>
      <w:pPr>
        <w:rPr>
          <w:rFonts w:hint="eastAsia" w:ascii="仿宋" w:hAnsi="仿宋" w:eastAsia="仿宋" w:cs="仿宋"/>
          <w:color w:val="auto"/>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8B411"/>
    <w:multiLevelType w:val="singleLevel"/>
    <w:tmpl w:val="F4A8B411"/>
    <w:lvl w:ilvl="0" w:tentative="0">
      <w:start w:val="2"/>
      <w:numFmt w:val="chineseCounting"/>
      <w:suff w:val="nothing"/>
      <w:lvlText w:val="（%1）"/>
      <w:lvlJc w:val="left"/>
      <w:rPr>
        <w:rFonts w:hint="eastAsia"/>
      </w:rPr>
    </w:lvl>
  </w:abstractNum>
  <w:abstractNum w:abstractNumId="1">
    <w:nsid w:val="27AD514F"/>
    <w:multiLevelType w:val="singleLevel"/>
    <w:tmpl w:val="27AD514F"/>
    <w:lvl w:ilvl="0" w:tentative="0">
      <w:start w:val="1"/>
      <w:numFmt w:val="decimal"/>
      <w:suff w:val="nothing"/>
      <w:lvlText w:val="%1、"/>
      <w:lvlJc w:val="left"/>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77A63BF5"/>
    <w:rsid w:val="00794C9C"/>
    <w:rsid w:val="00831DF2"/>
    <w:rsid w:val="021B0316"/>
    <w:rsid w:val="02271842"/>
    <w:rsid w:val="022F6BB9"/>
    <w:rsid w:val="025E1859"/>
    <w:rsid w:val="044B3117"/>
    <w:rsid w:val="05E80F59"/>
    <w:rsid w:val="07AD3354"/>
    <w:rsid w:val="07C741F9"/>
    <w:rsid w:val="089D117E"/>
    <w:rsid w:val="09050F5A"/>
    <w:rsid w:val="09EF33AD"/>
    <w:rsid w:val="0A3A5B64"/>
    <w:rsid w:val="0A9834D4"/>
    <w:rsid w:val="0BAB04D9"/>
    <w:rsid w:val="0BFA475E"/>
    <w:rsid w:val="0C4554CF"/>
    <w:rsid w:val="0D6E6EA8"/>
    <w:rsid w:val="0E544584"/>
    <w:rsid w:val="101A3CD9"/>
    <w:rsid w:val="10393E38"/>
    <w:rsid w:val="123A47E8"/>
    <w:rsid w:val="125E150C"/>
    <w:rsid w:val="126E0C6D"/>
    <w:rsid w:val="13154FC2"/>
    <w:rsid w:val="138D40A0"/>
    <w:rsid w:val="14DD7B27"/>
    <w:rsid w:val="1514410A"/>
    <w:rsid w:val="151D1911"/>
    <w:rsid w:val="152A4F40"/>
    <w:rsid w:val="16885EC4"/>
    <w:rsid w:val="173914CE"/>
    <w:rsid w:val="175C6F14"/>
    <w:rsid w:val="191867DD"/>
    <w:rsid w:val="19424387"/>
    <w:rsid w:val="19F94B1E"/>
    <w:rsid w:val="1ABD595F"/>
    <w:rsid w:val="1B5878EF"/>
    <w:rsid w:val="1BA56282"/>
    <w:rsid w:val="1D233FE7"/>
    <w:rsid w:val="20B760A1"/>
    <w:rsid w:val="20EB6B5A"/>
    <w:rsid w:val="21DE5213"/>
    <w:rsid w:val="2287088A"/>
    <w:rsid w:val="22A96C4D"/>
    <w:rsid w:val="22D116F0"/>
    <w:rsid w:val="23A34F05"/>
    <w:rsid w:val="23F91006"/>
    <w:rsid w:val="24D036F2"/>
    <w:rsid w:val="24EF3CF8"/>
    <w:rsid w:val="254A4F31"/>
    <w:rsid w:val="25666234"/>
    <w:rsid w:val="26042964"/>
    <w:rsid w:val="26296A75"/>
    <w:rsid w:val="263938D0"/>
    <w:rsid w:val="268C6633"/>
    <w:rsid w:val="27462298"/>
    <w:rsid w:val="27703228"/>
    <w:rsid w:val="278D1D9E"/>
    <w:rsid w:val="28F07C1B"/>
    <w:rsid w:val="29397F17"/>
    <w:rsid w:val="299A60D1"/>
    <w:rsid w:val="2B39649B"/>
    <w:rsid w:val="2B610C6E"/>
    <w:rsid w:val="2CD40B68"/>
    <w:rsid w:val="2D496964"/>
    <w:rsid w:val="2EAB20A2"/>
    <w:rsid w:val="2ED92E71"/>
    <w:rsid w:val="2FA554FB"/>
    <w:rsid w:val="300E0B08"/>
    <w:rsid w:val="307A551E"/>
    <w:rsid w:val="309C2955"/>
    <w:rsid w:val="30D4264E"/>
    <w:rsid w:val="30E8353D"/>
    <w:rsid w:val="31312B59"/>
    <w:rsid w:val="32134CC9"/>
    <w:rsid w:val="333F2EC2"/>
    <w:rsid w:val="350D49FE"/>
    <w:rsid w:val="35EC69B0"/>
    <w:rsid w:val="380A4CBE"/>
    <w:rsid w:val="3A125A74"/>
    <w:rsid w:val="3B1044B3"/>
    <w:rsid w:val="3B683FC4"/>
    <w:rsid w:val="3CA513A0"/>
    <w:rsid w:val="3D711FB1"/>
    <w:rsid w:val="3D74108C"/>
    <w:rsid w:val="3EDD4184"/>
    <w:rsid w:val="3EE56F1D"/>
    <w:rsid w:val="3F2A2234"/>
    <w:rsid w:val="400261DF"/>
    <w:rsid w:val="406D74F7"/>
    <w:rsid w:val="407C236F"/>
    <w:rsid w:val="419A0956"/>
    <w:rsid w:val="423212C0"/>
    <w:rsid w:val="44916547"/>
    <w:rsid w:val="452C7DF3"/>
    <w:rsid w:val="46DF4A69"/>
    <w:rsid w:val="470C1A5F"/>
    <w:rsid w:val="47274A88"/>
    <w:rsid w:val="481B1DE1"/>
    <w:rsid w:val="48DF1BB7"/>
    <w:rsid w:val="495716DD"/>
    <w:rsid w:val="4AE25DA3"/>
    <w:rsid w:val="4AF34A92"/>
    <w:rsid w:val="4BC31725"/>
    <w:rsid w:val="4E094113"/>
    <w:rsid w:val="4F1F5DC1"/>
    <w:rsid w:val="50AD534D"/>
    <w:rsid w:val="50E64958"/>
    <w:rsid w:val="50FC46B5"/>
    <w:rsid w:val="514C7681"/>
    <w:rsid w:val="515720C6"/>
    <w:rsid w:val="52D24687"/>
    <w:rsid w:val="532902BD"/>
    <w:rsid w:val="535D4938"/>
    <w:rsid w:val="542F3891"/>
    <w:rsid w:val="55401A12"/>
    <w:rsid w:val="57B45EE9"/>
    <w:rsid w:val="588F04B9"/>
    <w:rsid w:val="59EB6D75"/>
    <w:rsid w:val="5A152E3D"/>
    <w:rsid w:val="5A2820DF"/>
    <w:rsid w:val="5A5D5D05"/>
    <w:rsid w:val="5ACD4EDF"/>
    <w:rsid w:val="5B111A6E"/>
    <w:rsid w:val="5B1D19BC"/>
    <w:rsid w:val="5C4133F3"/>
    <w:rsid w:val="5FB9746F"/>
    <w:rsid w:val="61594D1D"/>
    <w:rsid w:val="61BF03CD"/>
    <w:rsid w:val="61F61E67"/>
    <w:rsid w:val="62551EEC"/>
    <w:rsid w:val="635118CF"/>
    <w:rsid w:val="635A75C7"/>
    <w:rsid w:val="64755C28"/>
    <w:rsid w:val="67302D08"/>
    <w:rsid w:val="6736315B"/>
    <w:rsid w:val="68330675"/>
    <w:rsid w:val="69233C22"/>
    <w:rsid w:val="69F46A7D"/>
    <w:rsid w:val="6A10412F"/>
    <w:rsid w:val="6B5C416C"/>
    <w:rsid w:val="6BBB670F"/>
    <w:rsid w:val="6BF02E5B"/>
    <w:rsid w:val="6C777028"/>
    <w:rsid w:val="6CFD1EE2"/>
    <w:rsid w:val="6D4330F3"/>
    <w:rsid w:val="6E49525B"/>
    <w:rsid w:val="713D5F78"/>
    <w:rsid w:val="718A24DB"/>
    <w:rsid w:val="71E97E74"/>
    <w:rsid w:val="72243C78"/>
    <w:rsid w:val="739F294B"/>
    <w:rsid w:val="741A0705"/>
    <w:rsid w:val="74211278"/>
    <w:rsid w:val="74BA6885"/>
    <w:rsid w:val="758160B1"/>
    <w:rsid w:val="75A91FAA"/>
    <w:rsid w:val="75B94AC5"/>
    <w:rsid w:val="75CB37F8"/>
    <w:rsid w:val="768A545D"/>
    <w:rsid w:val="77A63BF5"/>
    <w:rsid w:val="77C045F0"/>
    <w:rsid w:val="78C52553"/>
    <w:rsid w:val="7A2E4512"/>
    <w:rsid w:val="7A8B3E0E"/>
    <w:rsid w:val="7ABB2591"/>
    <w:rsid w:val="7B926917"/>
    <w:rsid w:val="7C23033A"/>
    <w:rsid w:val="7C6376A9"/>
    <w:rsid w:val="7CF96477"/>
    <w:rsid w:val="7D4E111D"/>
    <w:rsid w:val="7D625068"/>
    <w:rsid w:val="7E232425"/>
    <w:rsid w:val="7E2431AA"/>
    <w:rsid w:val="7E2E6AA2"/>
    <w:rsid w:val="7E67414A"/>
    <w:rsid w:val="7F3A3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3580</Words>
  <Characters>3700</Characters>
  <Lines>0</Lines>
  <Paragraphs>0</Paragraphs>
  <TotalTime>0</TotalTime>
  <ScaleCrop>false</ScaleCrop>
  <LinksUpToDate>false</LinksUpToDate>
  <CharactersWithSpaces>3797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2021-03-17T00:54:00Z</dcterms:created>
  <dc:creator>艳子</dc:creator>
  <cp:lastModifiedBy>test</cp:lastModifiedBy>
  <cp:lastPrinted>2022-03-18T01:29:00Z</cp:lastPrinted>
  <dcterms:modified xsi:type="dcterms:W3CDTF">2022-06-02T07:14:49Z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48996D7FAF9143C9BBFA720DC4382B07</vt:lpwstr>
  </property>
</Properties>
</file>