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中共南县县委巡察工作领导小组办公室</w:t>
      </w:r>
    </w:p>
    <w:p>
      <w:pPr>
        <w:spacing w:line="600" w:lineRule="exact"/>
        <w:jc w:val="center"/>
        <w:rPr>
          <w:rFonts w:asciiTheme="minorEastAsia" w:hAnsiTheme="minorEastAsia" w:eastAsiaTheme="minorEastAsia" w:cstheme="minorEastAsia"/>
          <w:b/>
          <w:bCs/>
          <w:sz w:val="44"/>
          <w:szCs w:val="44"/>
        </w:rPr>
      </w:pPr>
      <w:r>
        <w:rPr>
          <w:rFonts w:hint="eastAsia" w:asciiTheme="minorEastAsia" w:hAnsiTheme="minorEastAsia" w:eastAsiaTheme="minorEastAsia" w:cstheme="minorEastAsia"/>
          <w:b/>
          <w:bCs/>
          <w:sz w:val="44"/>
          <w:szCs w:val="44"/>
        </w:rPr>
        <w:t>2020年度预算绩效自评工作报告</w:t>
      </w: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r>
        <w:rPr>
          <w:rFonts w:hint="eastAsia" w:ascii="仿宋" w:hAnsi="仿宋" w:eastAsia="仿宋" w:cs="仿宋"/>
          <w:sz w:val="32"/>
          <w:szCs w:val="32"/>
        </w:rPr>
        <w:t xml:space="preserve">    按照《中共湖南省委办公厅 湖南省人民政府办公厅关于全面实施预算绩效管理的实施意见》（湘办发〔2019〕10号）和《南县财政局关于做好2020年度预算绩效自评工作的通知》（南财绩函〔2021〕3号）等文件精神要求，为进一步规范财政资金管理，牢固树立预算绩效理念，切实提高财政资金使用效益，我单位成立了预算绩效自评工作小组，认真开展对2020年度县财政预算批复资金使用情况自查考评，现将有关情况报告如下：</w:t>
      </w:r>
    </w:p>
    <w:p>
      <w:pPr>
        <w:spacing w:line="600" w:lineRule="exact"/>
        <w:rPr>
          <w:rFonts w:ascii="仿宋" w:hAnsi="仿宋" w:eastAsia="仿宋" w:cs="仿宋"/>
          <w:b/>
          <w:bCs/>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rPr>
        <w:t>一、基本情况</w:t>
      </w:r>
    </w:p>
    <w:p>
      <w:pPr>
        <w:spacing w:line="600" w:lineRule="exact"/>
        <w:ind w:firstLine="640" w:firstLineChars="200"/>
        <w:rPr>
          <w:rFonts w:ascii="仿宋" w:hAnsi="仿宋" w:eastAsia="仿宋" w:cs="仿宋"/>
          <w:sz w:val="32"/>
          <w:szCs w:val="32"/>
        </w:rPr>
      </w:pPr>
      <w:r>
        <w:rPr>
          <w:rFonts w:hint="eastAsia" w:ascii="仿宋" w:hAnsi="仿宋" w:eastAsia="仿宋" w:cs="仿宋"/>
          <w:sz w:val="32"/>
          <w:szCs w:val="32"/>
        </w:rPr>
        <w:t>2017年6月，中共南县县委巡察工作领导小组办公室（以下简称“县委巡察办”）成立，正科级，列入县委工作机构序列，设在县纪委。2017年10月，县委设立巡察组2个，承担巡察任务，向县委巡察工作领导小组负责并报告工作。县委巡察办、组办公地点设在县政府大楼，现有在职人员11人，均为行政编制。</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（一）部门整体支出概况</w:t>
      </w:r>
    </w:p>
    <w:p>
      <w:pPr>
        <w:widowControl/>
        <w:spacing w:line="600" w:lineRule="exact"/>
        <w:ind w:firstLine="643"/>
        <w:rPr>
          <w:rFonts w:ascii="仿宋" w:hAnsi="仿宋" w:eastAsia="仿宋"/>
          <w:sz w:val="32"/>
          <w:szCs w:val="32"/>
        </w:rPr>
      </w:pPr>
      <w:r>
        <w:rPr>
          <w:rFonts w:hint="eastAsia" w:ascii="仿宋" w:hAnsi="仿宋" w:eastAsia="仿宋"/>
          <w:sz w:val="32"/>
          <w:szCs w:val="32"/>
        </w:rPr>
        <w:t>2020年收入总计18</w:t>
      </w:r>
      <w:r>
        <w:rPr>
          <w:rFonts w:ascii="仿宋" w:hAnsi="仿宋" w:eastAsia="仿宋"/>
          <w:sz w:val="32"/>
          <w:szCs w:val="32"/>
        </w:rPr>
        <w:t>5.73</w:t>
      </w:r>
      <w:r>
        <w:rPr>
          <w:rFonts w:hint="eastAsia" w:ascii="仿宋" w:hAnsi="仿宋" w:eastAsia="仿宋"/>
          <w:sz w:val="32"/>
          <w:szCs w:val="32"/>
        </w:rPr>
        <w:t>万元，均为财政拨款收入。2020年支出总计18</w:t>
      </w:r>
      <w:r>
        <w:rPr>
          <w:rFonts w:ascii="仿宋" w:hAnsi="仿宋" w:eastAsia="仿宋"/>
          <w:sz w:val="32"/>
          <w:szCs w:val="32"/>
        </w:rPr>
        <w:t>2.86</w:t>
      </w:r>
      <w:r>
        <w:rPr>
          <w:rFonts w:hint="eastAsia" w:ascii="仿宋" w:hAnsi="仿宋" w:eastAsia="仿宋"/>
          <w:sz w:val="32"/>
          <w:szCs w:val="32"/>
        </w:rPr>
        <w:t>万元，其中基本支出1</w:t>
      </w:r>
      <w:r>
        <w:rPr>
          <w:rFonts w:ascii="仿宋" w:hAnsi="仿宋" w:eastAsia="仿宋"/>
          <w:sz w:val="32"/>
          <w:szCs w:val="32"/>
        </w:rPr>
        <w:t>09.9</w:t>
      </w:r>
      <w:r>
        <w:rPr>
          <w:rFonts w:hint="eastAsia" w:ascii="仿宋" w:hAnsi="仿宋" w:eastAsia="仿宋"/>
          <w:sz w:val="32"/>
          <w:szCs w:val="32"/>
        </w:rPr>
        <w:t>万元；项目支出72.9</w:t>
      </w:r>
      <w:r>
        <w:rPr>
          <w:rFonts w:ascii="仿宋" w:hAnsi="仿宋" w:eastAsia="仿宋"/>
          <w:sz w:val="32"/>
          <w:szCs w:val="32"/>
        </w:rPr>
        <w:t>6</w:t>
      </w:r>
      <w:r>
        <w:rPr>
          <w:rFonts w:hint="eastAsia" w:ascii="仿宋" w:hAnsi="仿宋" w:eastAsia="仿宋"/>
          <w:sz w:val="32"/>
          <w:szCs w:val="32"/>
        </w:rPr>
        <w:t>万元。</w:t>
      </w:r>
    </w:p>
    <w:p>
      <w:pPr>
        <w:widowControl/>
        <w:spacing w:line="600" w:lineRule="exact"/>
        <w:ind w:firstLine="643"/>
        <w:rPr>
          <w:rFonts w:ascii="仿宋" w:hAnsi="仿宋" w:eastAsia="仿宋"/>
          <w:sz w:val="32"/>
          <w:szCs w:val="32"/>
        </w:rPr>
      </w:pPr>
      <w:r>
        <w:rPr>
          <w:rFonts w:hint="eastAsia" w:ascii="仿宋" w:hAnsi="仿宋" w:eastAsia="仿宋"/>
          <w:sz w:val="32"/>
          <w:szCs w:val="32"/>
        </w:rPr>
        <w:t>2020年财政年初预算经费1</w:t>
      </w:r>
      <w:r>
        <w:rPr>
          <w:rFonts w:ascii="仿宋" w:hAnsi="仿宋" w:eastAsia="仿宋"/>
          <w:sz w:val="32"/>
          <w:szCs w:val="32"/>
        </w:rPr>
        <w:t>72.29</w:t>
      </w:r>
      <w:r>
        <w:rPr>
          <w:rFonts w:hint="eastAsia" w:ascii="仿宋" w:hAnsi="仿宋" w:eastAsia="仿宋"/>
          <w:sz w:val="32"/>
          <w:szCs w:val="32"/>
        </w:rPr>
        <w:t>万元，预算完成率为100%。</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（二）部门整体支出绩效目标情况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1、绩效完成情况</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2020年，县委巡察机构组织11个巡察组（次）开展了3轮常规巡察和1轮交叉巡察，同时启动对村社区的常规巡察和脱贫攻坚领域专项巡察，共巡察县直、乡镇、村（社区）党组织38个。共发现问题701个，移交问题线索73条，巡察“利剑”震慑作用持续发力。充分运用巡察成果，狠抓巡察整改，针对县委第一至八轮巡察发现的共性问题和突出问题进行梳理汇总，形成《南县巡察监督重点问题清单》，要求全县各级党组织对照清单，举一反三、对标对表，认真开展自查自纠，进一步压实了各级党组织管党治党政治责任，推进我县全面从严治党向纵深发展。</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2、效益情况</w:t>
      </w:r>
    </w:p>
    <w:p>
      <w:pPr>
        <w:adjustRightInd w:val="0"/>
        <w:snapToGrid w:val="0"/>
        <w:spacing w:line="600" w:lineRule="exact"/>
        <w:ind w:firstLine="640" w:firstLineChars="200"/>
        <w:rPr>
          <w:rFonts w:ascii="仿宋" w:hAnsi="仿宋" w:eastAsia="仿宋"/>
          <w:sz w:val="32"/>
          <w:szCs w:val="32"/>
        </w:rPr>
      </w:pPr>
      <w:r>
        <w:rPr>
          <w:rFonts w:hint="eastAsia" w:ascii="仿宋" w:hAnsi="仿宋" w:eastAsia="仿宋"/>
          <w:sz w:val="32"/>
          <w:szCs w:val="32"/>
        </w:rPr>
        <w:t>各项指标在县委、县政府的绩效考核全部合格。</w:t>
      </w:r>
    </w:p>
    <w:p>
      <w:pPr>
        <w:spacing w:line="60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（三）部门整体支出情况分析</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2020年度财政预算资金合计18</w:t>
      </w:r>
      <w:r>
        <w:rPr>
          <w:rFonts w:ascii="仿宋" w:hAnsi="仿宋" w:eastAsia="仿宋"/>
          <w:sz w:val="32"/>
          <w:szCs w:val="32"/>
        </w:rPr>
        <w:t>5.73</w:t>
      </w:r>
      <w:r>
        <w:rPr>
          <w:rFonts w:hint="eastAsia" w:ascii="仿宋" w:hAnsi="仿宋" w:eastAsia="仿宋"/>
          <w:sz w:val="32"/>
          <w:szCs w:val="32"/>
        </w:rPr>
        <w:t>万元，2020年12月全部拨付到位，我单位根据年初预算编制及时制定实施计划，组织实施。支出过程中，我单位严格遵守各项规章制度，控制“三公”经费支出；巡察专项经费做到专款专用，按项目实施计划的进度情况进行资金分配。形成了先有预算、后有执行、“用钱必问效、无效必问责”的新常态。</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hint="eastAsia" w:ascii="仿宋" w:hAnsi="仿宋" w:eastAsia="仿宋"/>
          <w:b/>
          <w:bCs/>
          <w:sz w:val="32"/>
          <w:szCs w:val="32"/>
        </w:rPr>
        <w:t>绩效评价工作情况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（一）绩效评价目的</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通过绩效评价，了解单位工作情况及取得的效果，总结管理经验，发现管理中存在的问题。为进一步规范财政支出管理，健全和完善支出项目和资金使用管理办法，完善预算编制、加强绩效目标管理和绩效考核工作提供重要的参考依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（二）绩效评价的工作过程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绩效评价的要求，我们成立了自评工作领导小组，分管领导和财务人员全程参与，按照自评方案的要求，对照各实施项目的内容逐条逐项自评。在自评过程中发现问题，查找原因，及时纠正偏差，为下一步工作夯实基础。</w:t>
      </w:r>
    </w:p>
    <w:p>
      <w:pPr>
        <w:numPr>
          <w:ilvl w:val="0"/>
          <w:numId w:val="1"/>
        </w:num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主要绩效及评价结论</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 xml:space="preserve"> 县委巡察办履行职责职能,严格按财经法规及制度使用、管理资金,成效明显,主要体现在以下几个方面：</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（一）保障了职工工资,津补贴的及时足额发放。</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（二）保障了巡察工作的顺利开展,资金支付正常。</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（三）资金使用无虚列支出及随意使用现象,无大额现金支付现象。</w:t>
      </w:r>
    </w:p>
    <w:p>
      <w:pPr>
        <w:pStyle w:val="2"/>
        <w:numPr>
          <w:ilvl w:val="0"/>
          <w:numId w:val="2"/>
        </w:numPr>
        <w:spacing w:line="600" w:lineRule="exact"/>
        <w:rPr>
          <w:rFonts w:ascii="仿宋" w:hAnsi="仿宋" w:eastAsia="仿宋"/>
          <w:b/>
          <w:bCs/>
          <w:sz w:val="32"/>
          <w:szCs w:val="32"/>
        </w:rPr>
      </w:pPr>
      <w:r>
        <w:rPr>
          <w:rFonts w:hint="eastAsia" w:ascii="仿宋" w:hAnsi="仿宋" w:eastAsia="仿宋"/>
          <w:b/>
          <w:bCs/>
          <w:sz w:val="32"/>
          <w:szCs w:val="32"/>
        </w:rPr>
        <w:t>存在的问题</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w:t>
      </w:r>
      <w:r>
        <w:rPr>
          <w:rFonts w:ascii="仿宋" w:hAnsi="仿宋" w:eastAsia="仿宋"/>
          <w:sz w:val="32"/>
          <w:szCs w:val="32"/>
        </w:rPr>
        <w:t>预算计划与预算执行存在一定的偏差。</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w:t>
      </w:r>
      <w:r>
        <w:rPr>
          <w:rFonts w:ascii="仿宋" w:hAnsi="仿宋" w:eastAsia="仿宋"/>
          <w:sz w:val="32"/>
          <w:szCs w:val="32"/>
        </w:rPr>
        <w:t>绩效目标设立不够明确、细化和量化。</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 xml:space="preserve">五、有关建议 </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（一）科学制定年度绩效目标，更好地结合单位职能、年度工作重点，细化量化绩效目标。</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（二）结合上一年度预算执行情况及本年度预算收支变化因素，根据部门具体绩效目标，科学编制本年度预算。</w:t>
      </w:r>
    </w:p>
    <w:p>
      <w:pPr>
        <w:spacing w:line="600" w:lineRule="exact"/>
        <w:ind w:firstLine="643" w:firstLineChars="200"/>
        <w:rPr>
          <w:rFonts w:ascii="仿宋" w:hAnsi="仿宋" w:eastAsia="仿宋"/>
          <w:b/>
          <w:bCs/>
          <w:sz w:val="32"/>
          <w:szCs w:val="32"/>
        </w:rPr>
      </w:pPr>
      <w:r>
        <w:rPr>
          <w:rFonts w:hint="eastAsia" w:ascii="仿宋" w:hAnsi="仿宋" w:eastAsia="仿宋"/>
          <w:b/>
          <w:bCs/>
          <w:sz w:val="32"/>
          <w:szCs w:val="32"/>
        </w:rPr>
        <w:t>六、有关建议其他需要说明的问题</w:t>
      </w:r>
    </w:p>
    <w:p>
      <w:pPr>
        <w:spacing w:line="600" w:lineRule="exact"/>
        <w:rPr>
          <w:rFonts w:ascii="仿宋" w:hAnsi="仿宋" w:eastAsia="仿宋" w:cs="仿宋"/>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 xml:space="preserve">        </w:t>
      </w:r>
      <w:r>
        <w:rPr>
          <w:rFonts w:hint="eastAsia" w:ascii="仿宋" w:hAnsi="仿宋" w:eastAsia="仿宋" w:cs="仿宋_GB2312"/>
          <w:sz w:val="32"/>
          <w:szCs w:val="32"/>
        </w:rPr>
        <w:t>无。</w:t>
      </w:r>
    </w:p>
    <w:p>
      <w:pPr>
        <w:spacing w:line="600" w:lineRule="exact"/>
        <w:ind w:firstLine="2560" w:firstLineChars="800"/>
        <w:rPr>
          <w:rFonts w:ascii="仿宋" w:hAnsi="仿宋" w:eastAsia="仿宋" w:cs="仿宋"/>
          <w:sz w:val="32"/>
          <w:szCs w:val="32"/>
        </w:rPr>
      </w:pPr>
      <w:r>
        <w:rPr>
          <w:rFonts w:hint="eastAsia" w:ascii="仿宋" w:hAnsi="仿宋" w:eastAsia="仿宋" w:cs="仿宋"/>
          <w:sz w:val="32"/>
          <w:szCs w:val="32"/>
        </w:rPr>
        <w:t>中共南县县委巡察工作领导小组办公室</w:t>
      </w:r>
    </w:p>
    <w:p>
      <w:pPr>
        <w:spacing w:line="600" w:lineRule="exact"/>
        <w:ind w:firstLine="3840" w:firstLineChars="1200"/>
        <w:rPr>
          <w:rFonts w:hint="eastAsia" w:ascii="仿宋" w:hAnsi="仿宋" w:eastAsia="仿宋" w:cs="仿宋"/>
          <w:sz w:val="32"/>
          <w:szCs w:val="32"/>
        </w:rPr>
      </w:pPr>
      <w:r>
        <w:rPr>
          <w:rFonts w:hint="eastAsia" w:ascii="仿宋" w:hAnsi="仿宋" w:eastAsia="仿宋" w:cs="仿宋"/>
          <w:sz w:val="32"/>
          <w:szCs w:val="32"/>
        </w:rPr>
        <w:t>2021年4月6日</w:t>
      </w:r>
    </w:p>
    <w:p>
      <w:pPr>
        <w:pStyle w:val="2"/>
        <w:rPr>
          <w:rFonts w:hint="eastAsia" w:ascii="仿宋" w:hAnsi="仿宋" w:eastAsia="仿宋" w:cs="仿宋"/>
          <w:sz w:val="32"/>
          <w:szCs w:val="32"/>
        </w:rPr>
      </w:pPr>
    </w:p>
    <w:p>
      <w:pPr>
        <w:spacing w:line="560" w:lineRule="exact"/>
        <w:ind w:firstLine="560"/>
        <w:rPr>
          <w:rFonts w:ascii="黑体" w:hAnsi="黑体" w:eastAsia="黑体"/>
          <w:color w:val="000000"/>
          <w:sz w:val="28"/>
          <w:szCs w:val="28"/>
        </w:rPr>
      </w:pPr>
      <w:r>
        <w:rPr>
          <w:rFonts w:hint="eastAsia" w:ascii="黑体" w:hAnsi="黑体" w:eastAsia="黑体"/>
          <w:color w:val="000000"/>
          <w:sz w:val="28"/>
          <w:szCs w:val="28"/>
        </w:rPr>
        <w:t>附件1</w:t>
      </w:r>
    </w:p>
    <w:p>
      <w:pPr>
        <w:ind w:firstLine="720"/>
        <w:jc w:val="center"/>
        <w:rPr>
          <w:rFonts w:ascii="黑体" w:hAnsi="黑体" w:eastAsia="黑体"/>
          <w:color w:val="000000"/>
          <w:sz w:val="36"/>
          <w:szCs w:val="36"/>
        </w:rPr>
      </w:pPr>
      <w:r>
        <w:rPr>
          <w:rFonts w:hint="eastAsia" w:ascii="黑体" w:hAnsi="黑体" w:eastAsia="黑体"/>
          <w:color w:val="000000"/>
          <w:sz w:val="36"/>
          <w:szCs w:val="36"/>
        </w:rPr>
        <w:t>2020年部门整体支出绩效自评指标计分表</w:t>
      </w:r>
    </w:p>
    <w:p>
      <w:pPr>
        <w:spacing w:line="300" w:lineRule="exact"/>
        <w:ind w:firstLine="640"/>
        <w:rPr>
          <w:rFonts w:ascii="黑体" w:hAnsi="黑体" w:eastAsia="黑体"/>
          <w:color w:val="000000"/>
        </w:rPr>
      </w:pPr>
      <w:r>
        <w:rPr>
          <w:rFonts w:hint="eastAsia" w:ascii="黑体" w:hAnsi="黑体" w:eastAsia="黑体"/>
          <w:color w:val="000000"/>
        </w:rPr>
        <w:t xml:space="preserve"> </w:t>
      </w:r>
    </w:p>
    <w:tbl>
      <w:tblPr>
        <w:tblStyle w:val="6"/>
        <w:tblW w:w="9992" w:type="dxa"/>
        <w:jc w:val="center"/>
        <w:tblLayout w:type="fixed"/>
        <w:tblCellMar>
          <w:top w:w="0" w:type="dxa"/>
          <w:left w:w="0" w:type="dxa"/>
          <w:bottom w:w="0" w:type="dxa"/>
          <w:right w:w="0" w:type="dxa"/>
        </w:tblCellMar>
      </w:tblPr>
      <w:tblGrid>
        <w:gridCol w:w="828"/>
        <w:gridCol w:w="784"/>
        <w:gridCol w:w="848"/>
        <w:gridCol w:w="684"/>
        <w:gridCol w:w="2476"/>
        <w:gridCol w:w="4372"/>
      </w:tblGrid>
      <w:tr>
        <w:tblPrEx>
          <w:tblCellMar>
            <w:top w:w="0" w:type="dxa"/>
            <w:left w:w="0" w:type="dxa"/>
            <w:bottom w:w="0" w:type="dxa"/>
            <w:right w:w="0" w:type="dxa"/>
          </w:tblCellMar>
        </w:tblPrEx>
        <w:trPr>
          <w:trHeight w:val="853" w:hRule="atLeast"/>
          <w:jc w:val="center"/>
        </w:trPr>
        <w:tc>
          <w:tcPr>
            <w:tcW w:w="828"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一级</w:t>
            </w:r>
            <w:r>
              <w:rPr>
                <w:rFonts w:hint="eastAsia" w:ascii="黑体" w:hAnsi="黑体" w:eastAsia="黑体"/>
                <w:color w:val="000000"/>
              </w:rPr>
              <w:br w:type="textWrapping"/>
            </w:r>
            <w:r>
              <w:rPr>
                <w:rFonts w:hint="eastAsia" w:ascii="黑体" w:hAnsi="黑体" w:eastAsia="黑体"/>
                <w:color w:val="000000"/>
              </w:rPr>
              <w:t>指标</w:t>
            </w:r>
          </w:p>
        </w:tc>
        <w:tc>
          <w:tcPr>
            <w:tcW w:w="784"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二级</w:t>
            </w:r>
          </w:p>
          <w:p>
            <w:pPr>
              <w:spacing w:line="240" w:lineRule="exact"/>
              <w:jc w:val="center"/>
              <w:rPr>
                <w:rFonts w:ascii="黑体" w:hAnsi="黑体" w:eastAsia="黑体"/>
                <w:color w:val="000000"/>
              </w:rPr>
            </w:pPr>
            <w:r>
              <w:rPr>
                <w:rFonts w:hint="eastAsia" w:ascii="黑体" w:hAnsi="黑体" w:eastAsia="黑体"/>
                <w:color w:val="000000"/>
              </w:rPr>
              <w:t>指标</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三级  指标</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黑体" w:hAnsi="黑体" w:eastAsia="黑体"/>
                <w:color w:val="000000"/>
              </w:rPr>
            </w:pPr>
            <w:r>
              <w:rPr>
                <w:rFonts w:hint="eastAsia" w:ascii="黑体" w:hAnsi="黑体" w:eastAsia="黑体"/>
                <w:color w:val="000000"/>
              </w:rPr>
              <w:t>自评分</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黑体" w:hAnsi="黑体" w:eastAsia="黑体"/>
                <w:color w:val="000000"/>
              </w:rPr>
            </w:pPr>
            <w:r>
              <w:rPr>
                <w:rFonts w:hint="eastAsia" w:ascii="黑体" w:hAnsi="黑体" w:eastAsia="黑体"/>
                <w:color w:val="000000"/>
              </w:rPr>
              <w:t>指标说明</w:t>
            </w:r>
          </w:p>
        </w:tc>
      </w:tr>
      <w:tr>
        <w:tblPrEx>
          <w:tblCellMar>
            <w:top w:w="0" w:type="dxa"/>
            <w:left w:w="0" w:type="dxa"/>
            <w:bottom w:w="0" w:type="dxa"/>
            <w:right w:w="0" w:type="dxa"/>
          </w:tblCellMar>
        </w:tblPrEx>
        <w:trPr>
          <w:trHeight w:val="1327"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投 入</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目标</w:t>
            </w:r>
            <w:r>
              <w:rPr>
                <w:rFonts w:hint="eastAsia" w:ascii="宋体" w:hAnsi="宋体"/>
                <w:color w:val="000000"/>
                <w:sz w:val="18"/>
                <w:szCs w:val="18"/>
              </w:rPr>
              <w:br w:type="textWrapping"/>
            </w:r>
            <w:r>
              <w:rPr>
                <w:rFonts w:hint="eastAsia" w:ascii="宋体" w:hAnsi="宋体"/>
                <w:color w:val="000000"/>
                <w:sz w:val="18"/>
                <w:szCs w:val="18"/>
              </w:rPr>
              <w:t>设定</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绩效目标合理性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绩效指标明确性</w:t>
            </w:r>
          </w:p>
          <w:p>
            <w:pPr>
              <w:spacing w:line="240" w:lineRule="exact"/>
              <w:rPr>
                <w:rFonts w:ascii="宋体" w:hAnsi="宋体"/>
                <w:color w:val="000000"/>
                <w:sz w:val="18"/>
                <w:szCs w:val="18"/>
              </w:rPr>
            </w:pPr>
            <w:r>
              <w:rPr>
                <w:rFonts w:hint="eastAsia" w:ascii="宋体" w:hAnsi="宋体"/>
                <w:color w:val="000000"/>
                <w:sz w:val="18"/>
                <w:szCs w:val="18"/>
              </w:rPr>
              <w:t>（3分）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3</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配置</w:t>
            </w:r>
          </w:p>
          <w:p>
            <w:pPr>
              <w:spacing w:line="240" w:lineRule="exact"/>
              <w:jc w:val="center"/>
              <w:rPr>
                <w:rFonts w:ascii="宋体" w:hAnsi="宋体"/>
                <w:color w:val="000000"/>
                <w:sz w:val="18"/>
                <w:szCs w:val="18"/>
              </w:rPr>
            </w:pPr>
            <w:r>
              <w:rPr>
                <w:rFonts w:hint="eastAsia" w:ascii="宋体" w:hAnsi="宋体"/>
                <w:color w:val="000000"/>
                <w:sz w:val="18"/>
                <w:szCs w:val="18"/>
              </w:rPr>
              <w:t>（15分）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ascii="宋体" w:hAnsi="宋体"/>
                <w:color w:val="000000"/>
                <w:sz w:val="18"/>
                <w:szCs w:val="18"/>
              </w:rPr>
            </w:pPr>
            <w:r>
              <w:rPr>
                <w:rFonts w:hint="eastAsia" w:ascii="宋体" w:hAnsi="宋体"/>
                <w:color w:val="000000"/>
                <w:sz w:val="18"/>
                <w:szCs w:val="18"/>
              </w:rPr>
              <w:t>在职人员控制率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3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w:t>
            </w:r>
          </w:p>
          <w:p>
            <w:pPr>
              <w:spacing w:line="240" w:lineRule="exact"/>
              <w:jc w:val="center"/>
              <w:rPr>
                <w:rFonts w:ascii="宋体" w:hAnsi="宋体"/>
                <w:color w:val="000000"/>
                <w:sz w:val="18"/>
                <w:szCs w:val="18"/>
              </w:rPr>
            </w:pPr>
            <w:r>
              <w:rPr>
                <w:rFonts w:hint="eastAsia" w:ascii="宋体" w:hAnsi="宋体"/>
                <w:color w:val="000000"/>
                <w:sz w:val="18"/>
                <w:szCs w:val="18"/>
              </w:rPr>
              <w:t>经费”</w:t>
            </w:r>
          </w:p>
          <w:p>
            <w:pPr>
              <w:spacing w:line="240" w:lineRule="exact"/>
              <w:jc w:val="center"/>
              <w:rPr>
                <w:rFonts w:ascii="宋体" w:hAnsi="宋体"/>
                <w:color w:val="000000"/>
                <w:sz w:val="18"/>
                <w:szCs w:val="18"/>
              </w:rPr>
            </w:pPr>
            <w:r>
              <w:rPr>
                <w:rFonts w:hint="eastAsia" w:ascii="宋体" w:hAnsi="宋体"/>
                <w:color w:val="000000"/>
                <w:sz w:val="18"/>
                <w:szCs w:val="18"/>
              </w:rPr>
              <w:t>变动率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5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重点支出安排率</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过  程（</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r>
              <w:rPr>
                <w:rFonts w:hint="eastAsia" w:ascii="宋体" w:hAnsi="宋体"/>
                <w:color w:val="000000"/>
                <w:sz w:val="18"/>
                <w:szCs w:val="18"/>
              </w:rPr>
              <w:br w:type="textWrapping"/>
            </w:r>
            <w:r>
              <w:rPr>
                <w:rFonts w:hint="eastAsia" w:ascii="宋体" w:hAnsi="宋体"/>
                <w:color w:val="000000"/>
                <w:sz w:val="18"/>
                <w:szCs w:val="18"/>
              </w:rPr>
              <w:t>执行</w:t>
            </w:r>
          </w:p>
          <w:p>
            <w:pPr>
              <w:spacing w:line="240" w:lineRule="exact"/>
              <w:jc w:val="center"/>
              <w:rPr>
                <w:rFonts w:ascii="宋体" w:hAnsi="宋体"/>
                <w:color w:val="000000"/>
                <w:sz w:val="18"/>
                <w:szCs w:val="18"/>
              </w:rPr>
            </w:pPr>
            <w:r>
              <w:rPr>
                <w:rFonts w:hint="eastAsia" w:ascii="宋体" w:hAnsi="宋体"/>
                <w:color w:val="000000"/>
                <w:sz w:val="18"/>
                <w:szCs w:val="18"/>
              </w:rPr>
              <w:t>（20分）</w:t>
            </w: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45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预算</w:t>
            </w:r>
          </w:p>
          <w:p>
            <w:pPr>
              <w:spacing w:line="240" w:lineRule="exact"/>
              <w:jc w:val="center"/>
              <w:rPr>
                <w:rFonts w:ascii="宋体" w:hAnsi="宋体"/>
                <w:color w:val="000000"/>
                <w:sz w:val="18"/>
                <w:szCs w:val="18"/>
              </w:rPr>
            </w:pPr>
            <w:r>
              <w:rPr>
                <w:rFonts w:hint="eastAsia" w:ascii="宋体" w:hAnsi="宋体"/>
                <w:color w:val="000000"/>
                <w:sz w:val="18"/>
                <w:szCs w:val="18"/>
              </w:rPr>
              <w:t>调整率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1918"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支付</w:t>
            </w:r>
          </w:p>
          <w:p>
            <w:pPr>
              <w:spacing w:line="240" w:lineRule="exact"/>
              <w:jc w:val="center"/>
              <w:rPr>
                <w:rFonts w:ascii="宋体" w:hAnsi="宋体"/>
                <w:color w:val="000000"/>
                <w:sz w:val="18"/>
                <w:szCs w:val="18"/>
              </w:rPr>
            </w:pPr>
            <w:r>
              <w:rPr>
                <w:rFonts w:hint="eastAsia" w:ascii="宋体" w:hAnsi="宋体"/>
                <w:color w:val="000000"/>
                <w:sz w:val="18"/>
                <w:szCs w:val="18"/>
              </w:rPr>
              <w:t>进度率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结转结余控制率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4</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公用经费控制率</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06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“三公经费”控制率（2分）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373"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政府采购执行率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34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预算</w:t>
            </w:r>
          </w:p>
          <w:p>
            <w:pPr>
              <w:spacing w:line="240" w:lineRule="exact"/>
              <w:jc w:val="center"/>
              <w:rPr>
                <w:rFonts w:ascii="仿宋_GB2312" w:hAnsi="宋体"/>
                <w:color w:val="000000"/>
              </w:rPr>
            </w:pP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324"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资金使用合规性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预决算信息公开性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94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基础信息完善性</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262"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restart"/>
            <w:tcBorders>
              <w:top w:val="nil"/>
              <w:left w:val="nil"/>
              <w:bottom w:val="nil"/>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资产</w:t>
            </w:r>
            <w:r>
              <w:rPr>
                <w:rFonts w:hint="eastAsia" w:ascii="仿宋_GB2312" w:hAnsi="宋体"/>
                <w:color w:val="000000"/>
              </w:rPr>
              <w:br w:type="textWrapping"/>
            </w:r>
            <w:r>
              <w:rPr>
                <w:rFonts w:hint="eastAsia" w:ascii="仿宋_GB2312" w:hAnsi="宋体"/>
                <w:color w:val="000000"/>
              </w:rPr>
              <w:t>管理</w:t>
            </w:r>
          </w:p>
          <w:p>
            <w:pPr>
              <w:spacing w:line="240" w:lineRule="exact"/>
              <w:jc w:val="center"/>
              <w:rPr>
                <w:rFonts w:ascii="仿宋_GB2312" w:hAnsi="宋体"/>
                <w:color w:val="000000"/>
              </w:rPr>
            </w:pPr>
            <w:r>
              <w:rPr>
                <w:rFonts w:hint="eastAsia" w:ascii="仿宋_GB2312" w:hAnsi="宋体"/>
                <w:color w:val="000000"/>
              </w:rPr>
              <w:t>（</w:t>
            </w:r>
            <w:r>
              <w:rPr>
                <w:rFonts w:hint="eastAsia" w:ascii="仿宋_GB2312" w:hAnsi="宋体" w:eastAsia="仿宋_GB2312"/>
                <w:color w:val="000000"/>
              </w:rPr>
              <w:t>5</w:t>
            </w:r>
            <w:r>
              <w:rPr>
                <w:rFonts w:hint="eastAsia" w:ascii="宋体" w:hAnsi="宋体"/>
                <w:color w:val="000000"/>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管理制度健全性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1</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105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资产管理安全性</w:t>
            </w:r>
          </w:p>
          <w:p>
            <w:pPr>
              <w:spacing w:line="240" w:lineRule="exact"/>
              <w:jc w:val="center"/>
              <w:rPr>
                <w:rFonts w:ascii="宋体" w:hAnsi="宋体"/>
                <w:color w:val="000000"/>
                <w:sz w:val="18"/>
                <w:szCs w:val="18"/>
              </w:rPr>
            </w:pPr>
            <w:r>
              <w:rPr>
                <w:rFonts w:hint="eastAsia" w:ascii="宋体" w:hAnsi="宋体"/>
                <w:color w:val="000000"/>
                <w:sz w:val="18"/>
                <w:szCs w:val="18"/>
              </w:rPr>
              <w:t>（2分）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2</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88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nil"/>
              <w:right w:val="single" w:color="auto" w:sz="4" w:space="0"/>
            </w:tcBorders>
            <w:vAlign w:val="center"/>
          </w:tcPr>
          <w:p>
            <w:pPr>
              <w:widowControl/>
              <w:jc w:val="left"/>
              <w:rPr>
                <w:rFonts w:ascii="仿宋_GB2312" w:hAnsi="宋体"/>
                <w:color w:val="000000"/>
              </w:rPr>
            </w:pPr>
          </w:p>
        </w:tc>
        <w:tc>
          <w:tcPr>
            <w:tcW w:w="848"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固定资产利用率</w:t>
            </w:r>
          </w:p>
          <w:p>
            <w:pPr>
              <w:spacing w:line="240" w:lineRule="exact"/>
              <w:jc w:val="center"/>
              <w:rPr>
                <w:rFonts w:ascii="宋体" w:hAnsi="宋体"/>
                <w:color w:val="000000"/>
                <w:sz w:val="18"/>
                <w:szCs w:val="18"/>
              </w:rPr>
            </w:pPr>
            <w:r>
              <w:rPr>
                <w:rFonts w:hint="eastAsia" w:ascii="宋体" w:hAnsi="宋体"/>
                <w:color w:val="000000"/>
                <w:sz w:val="18"/>
                <w:szCs w:val="18"/>
              </w:rPr>
              <w:t>（1分）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1</w:t>
            </w:r>
          </w:p>
        </w:tc>
        <w:tc>
          <w:tcPr>
            <w:tcW w:w="2476"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1314"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产  出（</w:t>
            </w:r>
            <w:r>
              <w:rPr>
                <w:rFonts w:hint="eastAsia" w:ascii="仿宋_GB2312" w:hAnsi="宋体" w:eastAsia="仿宋_GB2312"/>
                <w:color w:val="000000"/>
              </w:rPr>
              <w:t>30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职责</w:t>
            </w:r>
            <w:r>
              <w:rPr>
                <w:rFonts w:hint="eastAsia" w:ascii="仿宋_GB2312" w:hAnsi="宋体"/>
                <w:color w:val="000000"/>
                <w:sz w:val="18"/>
                <w:szCs w:val="18"/>
              </w:rPr>
              <w:br w:type="textWrapping"/>
            </w:r>
            <w:r>
              <w:rPr>
                <w:rFonts w:hint="eastAsia" w:ascii="仿宋_GB2312" w:hAnsi="宋体"/>
                <w:color w:val="000000"/>
                <w:sz w:val="18"/>
                <w:szCs w:val="18"/>
              </w:rPr>
              <w:t>履行</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实际</w:t>
            </w:r>
          </w:p>
          <w:p>
            <w:pPr>
              <w:spacing w:line="240" w:lineRule="exact"/>
              <w:jc w:val="center"/>
              <w:rPr>
                <w:rFonts w:ascii="宋体" w:hAnsi="宋体"/>
                <w:color w:val="000000"/>
                <w:sz w:val="18"/>
                <w:szCs w:val="18"/>
              </w:rPr>
            </w:pPr>
            <w:r>
              <w:rPr>
                <w:rFonts w:hint="eastAsia" w:ascii="宋体" w:hAnsi="宋体"/>
                <w:color w:val="000000"/>
                <w:sz w:val="18"/>
                <w:szCs w:val="18"/>
              </w:rPr>
              <w:t>完成率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128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完成</w:t>
            </w:r>
          </w:p>
          <w:p>
            <w:pPr>
              <w:spacing w:line="240" w:lineRule="exact"/>
              <w:jc w:val="center"/>
              <w:rPr>
                <w:rFonts w:ascii="宋体" w:hAnsi="宋体"/>
                <w:color w:val="000000"/>
                <w:sz w:val="18"/>
                <w:szCs w:val="18"/>
              </w:rPr>
            </w:pPr>
            <w:r>
              <w:rPr>
                <w:rFonts w:hint="eastAsia" w:ascii="宋体" w:hAnsi="宋体"/>
                <w:color w:val="000000"/>
                <w:sz w:val="18"/>
                <w:szCs w:val="18"/>
              </w:rPr>
              <w:t>及时率</w:t>
            </w:r>
          </w:p>
          <w:p>
            <w:pPr>
              <w:spacing w:line="240" w:lineRule="exact"/>
              <w:jc w:val="center"/>
              <w:rPr>
                <w:rFonts w:ascii="宋体" w:hAnsi="宋体"/>
                <w:color w:val="000000"/>
                <w:sz w:val="18"/>
                <w:szCs w:val="18"/>
              </w:rPr>
            </w:pPr>
            <w:r>
              <w:rPr>
                <w:rFonts w:hint="eastAsia" w:ascii="宋体" w:hAnsi="宋体"/>
                <w:color w:val="000000"/>
                <w:sz w:val="18"/>
                <w:szCs w:val="18"/>
              </w:rPr>
              <w:t>（4分）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4</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完成及时率=（及时完成实际工作数/计划工作数）×100%。1-4季度各得1分</w:t>
            </w:r>
          </w:p>
        </w:tc>
      </w:tr>
      <w:tr>
        <w:tblPrEx>
          <w:tblCellMar>
            <w:top w:w="0" w:type="dxa"/>
            <w:left w:w="0" w:type="dxa"/>
            <w:bottom w:w="0" w:type="dxa"/>
            <w:right w:w="0" w:type="dxa"/>
          </w:tblCellMar>
        </w:tblPrEx>
        <w:trPr>
          <w:trHeight w:val="137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质量</w:t>
            </w:r>
          </w:p>
          <w:p>
            <w:pPr>
              <w:spacing w:line="240" w:lineRule="exact"/>
              <w:jc w:val="center"/>
              <w:rPr>
                <w:rFonts w:ascii="宋体" w:hAnsi="宋体"/>
                <w:color w:val="000000"/>
                <w:sz w:val="18"/>
                <w:szCs w:val="18"/>
              </w:rPr>
            </w:pPr>
            <w:r>
              <w:rPr>
                <w:rFonts w:hint="eastAsia" w:ascii="宋体" w:hAnsi="宋体"/>
                <w:color w:val="000000"/>
                <w:sz w:val="18"/>
                <w:szCs w:val="18"/>
              </w:rPr>
              <w:t>达标率</w:t>
            </w:r>
          </w:p>
          <w:p>
            <w:pPr>
              <w:spacing w:line="240" w:lineRule="exact"/>
              <w:jc w:val="center"/>
              <w:rPr>
                <w:rFonts w:ascii="宋体" w:hAnsi="宋体"/>
                <w:color w:val="000000"/>
                <w:sz w:val="18"/>
                <w:szCs w:val="18"/>
              </w:rPr>
            </w:pPr>
            <w:r>
              <w:rPr>
                <w:rFonts w:hint="eastAsia" w:ascii="宋体" w:hAnsi="宋体"/>
                <w:color w:val="000000"/>
                <w:sz w:val="18"/>
                <w:szCs w:val="18"/>
              </w:rPr>
              <w:t>（8分）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8</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质量达标率=（质量达标实际工作数/计划工作数）×100%。实际得分=达标率*8分</w:t>
            </w:r>
          </w:p>
        </w:tc>
      </w:tr>
      <w:tr>
        <w:tblPrEx>
          <w:tblCellMar>
            <w:top w:w="0" w:type="dxa"/>
            <w:left w:w="0" w:type="dxa"/>
            <w:bottom w:w="0" w:type="dxa"/>
            <w:right w:w="0" w:type="dxa"/>
          </w:tblCellMar>
        </w:tblPrEx>
        <w:trPr>
          <w:trHeight w:val="119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重点工作办结率</w:t>
            </w:r>
          </w:p>
          <w:p>
            <w:pPr>
              <w:spacing w:line="240" w:lineRule="exact"/>
              <w:jc w:val="center"/>
              <w:rPr>
                <w:rFonts w:ascii="宋体" w:hAnsi="宋体"/>
                <w:color w:val="000000"/>
                <w:sz w:val="18"/>
                <w:szCs w:val="18"/>
              </w:rPr>
            </w:pPr>
            <w:r>
              <w:rPr>
                <w:rFonts w:hint="eastAsia" w:ascii="宋体" w:hAnsi="宋体"/>
                <w:color w:val="000000"/>
                <w:sz w:val="18"/>
                <w:szCs w:val="18"/>
              </w:rPr>
              <w:t>（10分）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10</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910" w:hRule="atLeast"/>
          <w:jc w:val="center"/>
        </w:trPr>
        <w:tc>
          <w:tcPr>
            <w:tcW w:w="828"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rPr>
            </w:pPr>
            <w:r>
              <w:rPr>
                <w:rFonts w:hint="eastAsia" w:ascii="仿宋_GB2312" w:hAnsi="宋体"/>
                <w:color w:val="000000"/>
              </w:rPr>
              <w:t>效  果（</w:t>
            </w:r>
            <w:r>
              <w:rPr>
                <w:rFonts w:hint="eastAsia" w:ascii="仿宋_GB2312" w:hAnsi="宋体" w:eastAsia="仿宋_GB2312"/>
                <w:color w:val="000000"/>
              </w:rPr>
              <w:t>20</w:t>
            </w:r>
            <w:r>
              <w:rPr>
                <w:rFonts w:hint="eastAsia" w:ascii="宋体" w:hAnsi="宋体"/>
                <w:color w:val="000000"/>
              </w:rPr>
              <w:t>分）</w:t>
            </w:r>
          </w:p>
        </w:tc>
        <w:tc>
          <w:tcPr>
            <w:tcW w:w="784"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仿宋_GB2312" w:hAnsi="宋体"/>
                <w:color w:val="000000"/>
                <w:sz w:val="18"/>
                <w:szCs w:val="18"/>
              </w:rPr>
            </w:pPr>
            <w:r>
              <w:rPr>
                <w:rFonts w:hint="eastAsia" w:ascii="仿宋_GB2312" w:hAnsi="宋体"/>
                <w:color w:val="000000"/>
                <w:sz w:val="18"/>
                <w:szCs w:val="18"/>
              </w:rPr>
              <w:t>履职</w:t>
            </w:r>
            <w:r>
              <w:rPr>
                <w:rFonts w:hint="eastAsia" w:ascii="仿宋_GB2312" w:hAnsi="宋体"/>
                <w:color w:val="000000"/>
                <w:sz w:val="18"/>
                <w:szCs w:val="18"/>
              </w:rPr>
              <w:br w:type="textWrapping"/>
            </w:r>
            <w:r>
              <w:rPr>
                <w:rFonts w:hint="eastAsia" w:ascii="仿宋_GB2312" w:hAnsi="宋体"/>
                <w:color w:val="000000"/>
                <w:sz w:val="18"/>
                <w:szCs w:val="18"/>
              </w:rPr>
              <w:t>效益</w:t>
            </w:r>
          </w:p>
          <w:p>
            <w:pPr>
              <w:spacing w:line="240" w:lineRule="exact"/>
              <w:jc w:val="center"/>
              <w:rPr>
                <w:rFonts w:ascii="仿宋_GB2312" w:hAnsi="宋体"/>
                <w:color w:val="000000"/>
                <w:sz w:val="18"/>
                <w:szCs w:val="18"/>
              </w:rPr>
            </w:pPr>
            <w:r>
              <w:rPr>
                <w:rFonts w:hint="eastAsia" w:ascii="仿宋_GB2312" w:hAnsi="宋体"/>
                <w:color w:val="000000"/>
                <w:sz w:val="18"/>
                <w:szCs w:val="18"/>
              </w:rPr>
              <w:t>（</w:t>
            </w:r>
            <w:r>
              <w:rPr>
                <w:rFonts w:hint="eastAsia" w:ascii="仿宋_GB2312" w:hAnsi="宋体" w:eastAsia="仿宋_GB2312"/>
                <w:color w:val="000000"/>
                <w:sz w:val="18"/>
                <w:szCs w:val="18"/>
              </w:rPr>
              <w:t>20</w:t>
            </w:r>
            <w:r>
              <w:rPr>
                <w:rFonts w:hint="eastAsia" w:ascii="宋体" w:hAnsi="宋体"/>
                <w:color w:val="000000"/>
                <w:sz w:val="18"/>
                <w:szCs w:val="18"/>
              </w:rPr>
              <w:t>分）</w:t>
            </w: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经济效益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部门履行职责对经济发展所带来的直接或间接影响。</w:t>
            </w:r>
          </w:p>
        </w:tc>
        <w:tc>
          <w:tcPr>
            <w:tcW w:w="4372" w:type="dxa"/>
            <w:vMerge w:val="restart"/>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810"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部门履行职责对社会发展所带来的直接或间接影响。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827"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生态效益</w:t>
            </w:r>
          </w:p>
          <w:p>
            <w:pPr>
              <w:spacing w:line="240" w:lineRule="exact"/>
              <w:jc w:val="center"/>
              <w:rPr>
                <w:rFonts w:ascii="宋体" w:hAnsi="宋体"/>
                <w:color w:val="000000"/>
                <w:sz w:val="18"/>
                <w:szCs w:val="18"/>
              </w:rPr>
            </w:pPr>
            <w:r>
              <w:rPr>
                <w:rFonts w:hint="eastAsia" w:ascii="宋体" w:hAnsi="宋体"/>
                <w:color w:val="000000"/>
                <w:sz w:val="18"/>
                <w:szCs w:val="18"/>
              </w:rPr>
              <w:t>（5分）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部门履行职责对生态环境所带来的直接或间接影响。</w:t>
            </w:r>
          </w:p>
        </w:tc>
        <w:tc>
          <w:tcPr>
            <w:tcW w:w="4372" w:type="dxa"/>
            <w:vMerge w:val="continue"/>
            <w:tcBorders>
              <w:top w:val="nil"/>
              <w:left w:val="nil"/>
              <w:bottom w:val="single" w:color="auto" w:sz="4" w:space="0"/>
              <w:right w:val="single" w:color="auto" w:sz="4" w:space="0"/>
            </w:tcBorders>
            <w:vAlign w:val="center"/>
          </w:tcPr>
          <w:p>
            <w:pPr>
              <w:widowControl/>
              <w:jc w:val="left"/>
              <w:rPr>
                <w:rFonts w:ascii="宋体" w:hAnsi="宋体"/>
                <w:color w:val="000000"/>
                <w:sz w:val="18"/>
                <w:szCs w:val="18"/>
              </w:rPr>
            </w:pPr>
          </w:p>
        </w:tc>
      </w:tr>
      <w:tr>
        <w:tblPrEx>
          <w:tblCellMar>
            <w:top w:w="0" w:type="dxa"/>
            <w:left w:w="0" w:type="dxa"/>
            <w:bottom w:w="0" w:type="dxa"/>
            <w:right w:w="0" w:type="dxa"/>
          </w:tblCellMar>
        </w:tblPrEx>
        <w:trPr>
          <w:trHeight w:val="1296" w:hRule="atLeast"/>
          <w:jc w:val="center"/>
        </w:trPr>
        <w:tc>
          <w:tcPr>
            <w:tcW w:w="82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olor w:val="000000"/>
              </w:rPr>
            </w:pPr>
          </w:p>
        </w:tc>
        <w:tc>
          <w:tcPr>
            <w:tcW w:w="784" w:type="dxa"/>
            <w:vMerge w:val="continue"/>
            <w:tcBorders>
              <w:top w:val="nil"/>
              <w:left w:val="nil"/>
              <w:bottom w:val="single" w:color="auto" w:sz="4" w:space="0"/>
              <w:right w:val="single" w:color="auto" w:sz="4" w:space="0"/>
            </w:tcBorders>
            <w:vAlign w:val="center"/>
          </w:tcPr>
          <w:p>
            <w:pPr>
              <w:widowControl/>
              <w:jc w:val="left"/>
              <w:rPr>
                <w:rFonts w:ascii="仿宋_GB2312" w:hAnsi="宋体"/>
                <w:color w:val="000000"/>
                <w:sz w:val="18"/>
                <w:szCs w:val="18"/>
              </w:rPr>
            </w:pPr>
          </w:p>
        </w:tc>
        <w:tc>
          <w:tcPr>
            <w:tcW w:w="848"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ascii="宋体" w:hAnsi="宋体"/>
                <w:color w:val="000000"/>
                <w:sz w:val="18"/>
                <w:szCs w:val="18"/>
              </w:rPr>
            </w:pPr>
            <w:r>
              <w:rPr>
                <w:rFonts w:hint="eastAsia" w:ascii="宋体" w:hAnsi="宋体"/>
                <w:color w:val="000000"/>
                <w:sz w:val="18"/>
                <w:szCs w:val="18"/>
              </w:rPr>
              <w:t>社会公众或服务对象满意度（5分）</w:t>
            </w:r>
          </w:p>
        </w:tc>
        <w:tc>
          <w:tcPr>
            <w:tcW w:w="684" w:type="dxa"/>
            <w:tcBorders>
              <w:top w:val="single" w:color="auto" w:sz="4" w:space="0"/>
              <w:left w:val="nil"/>
              <w:bottom w:val="single" w:color="auto" w:sz="4" w:space="0"/>
              <w:right w:val="single" w:color="auto" w:sz="4" w:space="0"/>
            </w:tcBorders>
            <w:vAlign w:val="center"/>
          </w:tcPr>
          <w:p>
            <w:pPr>
              <w:spacing w:line="240" w:lineRule="exact"/>
              <w:jc w:val="center"/>
              <w:rPr>
                <w:rFonts w:ascii="宋体" w:hAnsi="宋体"/>
                <w:color w:val="000000"/>
                <w:sz w:val="18"/>
                <w:szCs w:val="18"/>
              </w:rPr>
            </w:pPr>
            <w:r>
              <w:rPr>
                <w:rFonts w:ascii="宋体" w:hAnsi="宋体"/>
                <w:color w:val="000000"/>
                <w:sz w:val="18"/>
                <w:szCs w:val="18"/>
              </w:rPr>
              <w:t>5</w:t>
            </w:r>
          </w:p>
        </w:tc>
        <w:tc>
          <w:tcPr>
            <w:tcW w:w="2476"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sz w:val="18"/>
                <w:szCs w:val="18"/>
              </w:rPr>
              <w:t>社会公众或部门的服务对象对部门履职效果的满意程度。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autoSpaceDE w:val="0"/>
              <w:spacing w:line="240" w:lineRule="exact"/>
              <w:ind w:left="42" w:leftChars="20"/>
              <w:rPr>
                <w:rFonts w:ascii="宋体" w:hAnsi="宋体"/>
                <w:color w:val="000000"/>
                <w:sz w:val="18"/>
                <w:szCs w:val="18"/>
              </w:rPr>
            </w:pPr>
            <w:r>
              <w:rPr>
                <w:rFonts w:hint="eastAsia" w:ascii="宋体" w:hAnsi="宋体"/>
                <w:color w:val="000000"/>
                <w:kern w:val="0"/>
                <w:sz w:val="18"/>
                <w:szCs w:val="18"/>
              </w:rPr>
              <w:t>按收集到的服务对象的满意率计算得分（5分）</w:t>
            </w:r>
          </w:p>
        </w:tc>
      </w:tr>
    </w:tbl>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r>
        <w:rPr>
          <w:rFonts w:ascii="仿宋_GB2312" w:eastAsia="仿宋_GB2312"/>
          <w:color w:val="000000"/>
        </w:rPr>
        <w:t>95</w:t>
      </w:r>
      <w:r>
        <w:rPr>
          <w:rFonts w:hint="eastAsia" w:ascii="仿宋_GB2312" w:eastAsia="仿宋_GB2312"/>
          <w:color w:val="000000"/>
        </w:rPr>
        <w:t>分</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pPr>
        <w:shd w:val="clear" w:color="auto" w:fill="FFFFFF"/>
        <w:spacing w:line="580" w:lineRule="exact"/>
        <w:ind w:firstLine="640"/>
        <w:rPr>
          <w:rFonts w:ascii="仿宋_GB2312" w:eastAsia="仿宋_GB2312"/>
          <w:color w:val="000000"/>
        </w:rPr>
      </w:pPr>
      <w:r>
        <w:rPr>
          <w:rFonts w:hint="eastAsia" w:ascii="仿宋_GB2312" w:eastAsia="仿宋_GB2312"/>
          <w:color w:val="000000"/>
        </w:rPr>
        <w:t xml:space="preserve"> </w:t>
      </w:r>
    </w:p>
    <w:p>
      <w:bookmarkStart w:id="0" w:name="_GoBack"/>
      <w:bookmarkEnd w:id="0"/>
    </w:p>
    <w:sectPr>
      <w:headerReference r:id="rId5" w:type="first"/>
      <w:headerReference r:id="rId3" w:type="default"/>
      <w:footerReference r:id="rId6" w:type="default"/>
      <w:headerReference r:id="rId4" w:type="even"/>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2</w:t>
                          </w:r>
                          <w:r>
                            <w:rPr>
                              <w:sz w:val="30"/>
                              <w:szCs w:val="30"/>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snapToGrid w:val="0"/>
                      <w:rPr>
                        <w:sz w:val="18"/>
                      </w:rPr>
                    </w:pPr>
                    <w:r>
                      <w:rPr>
                        <w:sz w:val="30"/>
                        <w:szCs w:val="30"/>
                      </w:rPr>
                      <w:fldChar w:fldCharType="begin"/>
                    </w:r>
                    <w:r>
                      <w:rPr>
                        <w:sz w:val="30"/>
                        <w:szCs w:val="30"/>
                      </w:rPr>
                      <w:instrText xml:space="preserve"> PAGE  \* MERGEFORMAT </w:instrText>
                    </w:r>
                    <w:r>
                      <w:rPr>
                        <w:sz w:val="30"/>
                        <w:szCs w:val="30"/>
                      </w:rPr>
                      <w:fldChar w:fldCharType="separate"/>
                    </w:r>
                    <w:r>
                      <w:rPr>
                        <w:sz w:val="30"/>
                        <w:szCs w:val="30"/>
                      </w:rPr>
                      <w:t>2</w:t>
                    </w:r>
                    <w:r>
                      <w:rPr>
                        <w:sz w:val="30"/>
                        <w:szCs w:val="30"/>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157C51"/>
    <w:multiLevelType w:val="singleLevel"/>
    <w:tmpl w:val="20157C51"/>
    <w:lvl w:ilvl="0" w:tentative="0">
      <w:start w:val="4"/>
      <w:numFmt w:val="chineseCounting"/>
      <w:suff w:val="nothing"/>
      <w:lvlText w:val="%1、"/>
      <w:lvlJc w:val="left"/>
      <w:pPr>
        <w:ind w:left="640" w:firstLine="0"/>
      </w:pPr>
      <w:rPr>
        <w:rFonts w:hint="eastAsia"/>
      </w:rPr>
    </w:lvl>
  </w:abstractNum>
  <w:abstractNum w:abstractNumId="1">
    <w:nsid w:val="2279AF10"/>
    <w:multiLevelType w:val="singleLevel"/>
    <w:tmpl w:val="2279AF10"/>
    <w:lvl w:ilvl="0" w:tentative="0">
      <w:start w:val="3"/>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wNGU5ZmRmYzc1ZjFlYzZmYmQ2YzBmYzdkZTA1NGEifQ=="/>
  </w:docVars>
  <w:rsids>
    <w:rsidRoot w:val="00700A6C"/>
    <w:rsid w:val="0003785E"/>
    <w:rsid w:val="0007774C"/>
    <w:rsid w:val="0028403C"/>
    <w:rsid w:val="00700A6C"/>
    <w:rsid w:val="009978EB"/>
    <w:rsid w:val="052F6210"/>
    <w:rsid w:val="08280B0B"/>
    <w:rsid w:val="0A6B3516"/>
    <w:rsid w:val="0B8B4133"/>
    <w:rsid w:val="0BEF1F0D"/>
    <w:rsid w:val="0C6A641F"/>
    <w:rsid w:val="11997517"/>
    <w:rsid w:val="1232309D"/>
    <w:rsid w:val="1380711F"/>
    <w:rsid w:val="151E0EBC"/>
    <w:rsid w:val="15756040"/>
    <w:rsid w:val="1D155C9A"/>
    <w:rsid w:val="1E6A5B41"/>
    <w:rsid w:val="212A7E4D"/>
    <w:rsid w:val="22E208DF"/>
    <w:rsid w:val="24915939"/>
    <w:rsid w:val="250F6826"/>
    <w:rsid w:val="276B5006"/>
    <w:rsid w:val="28F04CAB"/>
    <w:rsid w:val="2A8B1A8D"/>
    <w:rsid w:val="2AD55C41"/>
    <w:rsid w:val="2AEB1EE9"/>
    <w:rsid w:val="2C2510D6"/>
    <w:rsid w:val="2CF45F39"/>
    <w:rsid w:val="2FCA7ED9"/>
    <w:rsid w:val="323844D2"/>
    <w:rsid w:val="34C773A7"/>
    <w:rsid w:val="37A53E39"/>
    <w:rsid w:val="39F17394"/>
    <w:rsid w:val="3A9C5BE7"/>
    <w:rsid w:val="3AA46B87"/>
    <w:rsid w:val="3B50224C"/>
    <w:rsid w:val="3D68584E"/>
    <w:rsid w:val="3FCB2BC1"/>
    <w:rsid w:val="407B146C"/>
    <w:rsid w:val="408A1AFC"/>
    <w:rsid w:val="472E1F7C"/>
    <w:rsid w:val="53F91057"/>
    <w:rsid w:val="57DF1F83"/>
    <w:rsid w:val="5A3A1656"/>
    <w:rsid w:val="5F355ECD"/>
    <w:rsid w:val="69506E1F"/>
    <w:rsid w:val="6B1967C5"/>
    <w:rsid w:val="6D6405B4"/>
    <w:rsid w:val="6F7B1417"/>
    <w:rsid w:val="716C5925"/>
    <w:rsid w:val="73620D80"/>
    <w:rsid w:val="74B1051C"/>
    <w:rsid w:val="74E563F7"/>
    <w:rsid w:val="75213B9F"/>
    <w:rsid w:val="79990A0D"/>
    <w:rsid w:val="7DAE0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1435</Words>
  <Characters>1517</Characters>
  <Lines>11</Lines>
  <Paragraphs>3</Paragraphs>
  <TotalTime>0</TotalTime>
  <ScaleCrop>false</ScaleCrop>
  <LinksUpToDate>false</LinksUpToDate>
  <CharactersWithSpaces>1537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2021-03-18T01:37:00Z</dcterms:created>
  <dc:creator>admin</dc:creator>
  <cp:lastModifiedBy>@wang</cp:lastModifiedBy>
  <cp:lastPrinted>2021-04-15T07:44:00Z</cp:lastPrinted>
  <dcterms:modified xsi:type="dcterms:W3CDTF">2022-06-02T10:28:42Z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5BAC22AA0D454167866115AE3B56C52A</vt:lpwstr>
  </property>
</Properties>
</file>