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napToGrid w:val="0"/>
        <w:jc w:val="center"/>
        <w:rPr>
          <w:rFonts w:ascii="宋体" w:hAnsi="宋体" w:eastAsia="宋体"/>
          <w:b/>
          <w:sz w:val="44"/>
          <w:szCs w:val="44"/>
        </w:rPr>
      </w:pPr>
      <w:r>
        <w:rPr>
          <w:rFonts w:hint="eastAsia" w:ascii="宋体" w:hAnsi="宋体" w:eastAsia="宋体"/>
          <w:b/>
          <w:sz w:val="44"/>
          <w:szCs w:val="44"/>
        </w:rPr>
        <w:t>南县森林公安局</w:t>
      </w:r>
    </w:p>
    <w:p>
      <w:pPr>
        <w:tabs>
          <w:tab w:val="left" w:pos="360"/>
        </w:tabs>
        <w:snapToGrid w:val="0"/>
        <w:jc w:val="center"/>
        <w:rPr>
          <w:rFonts w:ascii="宋体" w:hAnsi="宋体" w:eastAsia="宋体"/>
          <w:b/>
          <w:sz w:val="72"/>
          <w:szCs w:val="72"/>
        </w:rPr>
      </w:pPr>
      <w:r>
        <w:rPr>
          <w:rFonts w:hint="eastAsia" w:ascii="宋体" w:hAnsi="宋体" w:eastAsia="宋体"/>
          <w:b/>
          <w:sz w:val="44"/>
          <w:szCs w:val="44"/>
        </w:rPr>
        <w:t>2020年度预算绩效</w:t>
      </w:r>
      <w:bookmarkStart w:id="0" w:name="_GoBack"/>
      <w:bookmarkEnd w:id="0"/>
    </w:p>
    <w:p>
      <w:pPr>
        <w:tabs>
          <w:tab w:val="left" w:pos="360"/>
        </w:tabs>
        <w:jc w:val="center"/>
        <w:rPr>
          <w:rFonts w:ascii="宋体" w:hAnsi="宋体" w:eastAsia="宋体"/>
          <w:b/>
          <w:sz w:val="44"/>
          <w:szCs w:val="44"/>
        </w:rPr>
      </w:pPr>
    </w:p>
    <w:p>
      <w:pPr>
        <w:tabs>
          <w:tab w:val="left" w:pos="360"/>
        </w:tabs>
        <w:jc w:val="center"/>
        <w:rPr>
          <w:rFonts w:ascii="宋体" w:hAnsi="宋体" w:eastAsia="宋体"/>
          <w:b/>
          <w:sz w:val="44"/>
          <w:szCs w:val="44"/>
        </w:rPr>
      </w:pPr>
      <w:r>
        <w:rPr>
          <w:rFonts w:hint="eastAsia" w:ascii="宋体" w:hAnsi="宋体" w:eastAsia="宋体"/>
          <w:b/>
          <w:sz w:val="44"/>
          <w:szCs w:val="44"/>
        </w:rPr>
        <w:t>自评工作报告</w:t>
      </w:r>
    </w:p>
    <w:p>
      <w:pPr>
        <w:tabs>
          <w:tab w:val="left" w:pos="360"/>
        </w:tabs>
        <w:ind w:firstLine="632" w:firstLineChars="200"/>
        <w:jc w:val="center"/>
        <w:rPr>
          <w:rFonts w:ascii="楷体_GB2312" w:hAnsi="方正小标宋_GBK" w:eastAsia="楷体_GB2312"/>
          <w:szCs w:val="32"/>
        </w:rPr>
      </w:pP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根据《南县财政局关于做好2020年度预算绩效自评工作的通知》（南财绩函〔2021〕3号）文件精神，我局成立了副局长为组长的绩效评价小组，对2020年度部门预算整体支出绩效进行了全面综合评价，整体支出分基本支出和专项支出两部分，基本支出的评价重点是厉行节约保运转，降低行政运行成本；专项支出的评价重点是规范管理促进发展，做到专款专用，提高资金使用效益。经相关业务股室全面综合评价，全面综合评价自评分为</w:t>
      </w:r>
      <w:r>
        <w:rPr>
          <w:rFonts w:ascii="仿宋" w:hAnsi="仿宋" w:eastAsia="仿宋"/>
          <w:szCs w:val="32"/>
        </w:rPr>
        <w:t>95.5</w:t>
      </w:r>
      <w:r>
        <w:rPr>
          <w:rFonts w:hint="eastAsia" w:ascii="仿宋" w:hAnsi="仿宋" w:eastAsia="仿宋"/>
          <w:szCs w:val="32"/>
        </w:rPr>
        <w:t>分。现将自评情况汇报如下：</w:t>
      </w:r>
    </w:p>
    <w:p>
      <w:pPr>
        <w:tabs>
          <w:tab w:val="left" w:pos="360"/>
        </w:tabs>
        <w:spacing w:line="580" w:lineRule="exact"/>
        <w:ind w:firstLine="632" w:firstLineChars="200"/>
        <w:rPr>
          <w:rFonts w:ascii="楷体" w:hAnsi="楷体" w:eastAsia="楷体"/>
          <w:b/>
          <w:szCs w:val="32"/>
        </w:rPr>
      </w:pPr>
      <w:r>
        <w:rPr>
          <w:rFonts w:hint="eastAsia" w:ascii="楷体" w:hAnsi="楷体" w:eastAsia="楷体"/>
          <w:b/>
          <w:szCs w:val="32"/>
        </w:rPr>
        <w:t>一、基本情况</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（一）部门职能职责</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南县森林公安局的职能职责：</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1、负责贯彻、落实林业法律、法规和各项规章制度。</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2、准确掌握本辖区林业治安动态，开展综合治理和专项斗争，维护社区社会治安稳定。</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3、负责保护辖区森林资源安全，依法查处森林治安案件和林业行政处罚案件。</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4、负责受理、侦查，处理全县林区发生的森林类、野生动植物类等刑事案件。</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5、协助做好木材经营（加工）单位的清理工作。</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6、负责辖区猎枪弹具管理。</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7、配合县人民政府森林防火指挥部开展全县森林防火工作，以及负责森林火灾案件的查处工作。</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8、协助做好辖区内林权纠纷调处工作。</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9、及时承办上级领导交办的其它工作。</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（二）部门基本情况</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南县森林公安局经省人民政府于2010年行文批准成立、依法行使林业执法职能，属全额拨款的副科级政法编制行政单位，坐落于南洲镇永红路，现在林业局同院内一栋办公楼办公。南县森林公安局行政编制数为6人，实有人数6人，其中行政在职人员5人，临时人员1人。</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（三）部门整体支出管理及使用情况</w:t>
      </w:r>
    </w:p>
    <w:p>
      <w:pPr>
        <w:autoSpaceDE w:val="0"/>
        <w:autoSpaceDN w:val="0"/>
        <w:adjustRightInd w:val="0"/>
        <w:spacing w:line="580" w:lineRule="exact"/>
        <w:ind w:firstLine="632" w:firstLineChars="200"/>
        <w:rPr>
          <w:rFonts w:ascii="仿宋" w:hAnsi="仿宋" w:eastAsia="仿宋" w:cs="宋体"/>
          <w:szCs w:val="32"/>
        </w:rPr>
      </w:pPr>
      <w:r>
        <w:rPr>
          <w:rFonts w:hint="eastAsia" w:ascii="仿宋" w:hAnsi="仿宋" w:eastAsia="仿宋" w:cs="宋体"/>
          <w:szCs w:val="32"/>
        </w:rPr>
        <w:t>1、收入：2020年收入</w:t>
      </w:r>
      <w:r>
        <w:rPr>
          <w:rFonts w:ascii="仿宋" w:hAnsi="仿宋" w:eastAsia="仿宋" w:cs="宋体"/>
          <w:szCs w:val="32"/>
        </w:rPr>
        <w:t>1018191</w:t>
      </w:r>
      <w:r>
        <w:rPr>
          <w:rFonts w:hint="eastAsia" w:ascii="仿宋" w:hAnsi="仿宋" w:eastAsia="仿宋" w:cs="宋体"/>
          <w:szCs w:val="32"/>
        </w:rPr>
        <w:t>元，本年财政拨款收入增加。</w:t>
      </w:r>
    </w:p>
    <w:p>
      <w:pPr>
        <w:autoSpaceDE w:val="0"/>
        <w:autoSpaceDN w:val="0"/>
        <w:adjustRightInd w:val="0"/>
        <w:spacing w:line="580" w:lineRule="exact"/>
        <w:ind w:firstLine="632" w:firstLineChars="200"/>
        <w:rPr>
          <w:rFonts w:ascii="仿宋" w:hAnsi="仿宋" w:eastAsia="仿宋" w:cs="宋体"/>
          <w:szCs w:val="32"/>
        </w:rPr>
      </w:pPr>
      <w:r>
        <w:rPr>
          <w:rFonts w:hint="eastAsia" w:ascii="仿宋" w:hAnsi="仿宋" w:eastAsia="仿宋" w:cs="宋体"/>
          <w:szCs w:val="32"/>
        </w:rPr>
        <w:t>2、支出：2020年总支出</w:t>
      </w:r>
      <w:r>
        <w:rPr>
          <w:rFonts w:ascii="仿宋" w:hAnsi="仿宋" w:eastAsia="仿宋" w:cs="宋体"/>
          <w:szCs w:val="32"/>
        </w:rPr>
        <w:t>954803.97</w:t>
      </w:r>
      <w:r>
        <w:rPr>
          <w:rFonts w:hint="eastAsia" w:ascii="仿宋" w:hAnsi="仿宋" w:eastAsia="仿宋" w:cs="宋体"/>
          <w:szCs w:val="32"/>
        </w:rPr>
        <w:t>元。基本支出</w:t>
      </w:r>
      <w:r>
        <w:rPr>
          <w:rFonts w:ascii="仿宋" w:hAnsi="仿宋" w:eastAsia="仿宋" w:cs="宋体"/>
          <w:szCs w:val="32"/>
        </w:rPr>
        <w:t>856503.85</w:t>
      </w:r>
      <w:r>
        <w:rPr>
          <w:rFonts w:hint="eastAsia" w:ascii="仿宋" w:hAnsi="仿宋" w:eastAsia="仿宋" w:cs="宋体"/>
          <w:szCs w:val="32"/>
        </w:rPr>
        <w:t>元，其中人员经费</w:t>
      </w:r>
      <w:r>
        <w:rPr>
          <w:rFonts w:ascii="仿宋" w:hAnsi="仿宋" w:eastAsia="仿宋" w:cs="宋体"/>
          <w:szCs w:val="32"/>
        </w:rPr>
        <w:t>665440.79</w:t>
      </w:r>
      <w:r>
        <w:rPr>
          <w:rFonts w:hint="eastAsia" w:ascii="仿宋" w:hAnsi="仿宋" w:eastAsia="仿宋" w:cs="宋体"/>
          <w:szCs w:val="32"/>
        </w:rPr>
        <w:t>元，日常公用经费</w:t>
      </w:r>
      <w:r>
        <w:rPr>
          <w:rFonts w:ascii="仿宋" w:hAnsi="仿宋" w:eastAsia="仿宋" w:cs="宋体"/>
          <w:szCs w:val="32"/>
        </w:rPr>
        <w:t>191063.06</w:t>
      </w:r>
      <w:r>
        <w:rPr>
          <w:rFonts w:hint="eastAsia" w:ascii="仿宋" w:hAnsi="仿宋" w:eastAsia="仿宋" w:cs="宋体"/>
          <w:szCs w:val="32"/>
        </w:rPr>
        <w:t>元；项目（野生动物保护和森林火灾预防）两专项支出</w:t>
      </w:r>
      <w:r>
        <w:rPr>
          <w:rFonts w:ascii="仿宋" w:hAnsi="仿宋" w:eastAsia="仿宋" w:cs="宋体"/>
          <w:szCs w:val="32"/>
        </w:rPr>
        <w:t>98300.12</w:t>
      </w:r>
      <w:r>
        <w:rPr>
          <w:rFonts w:hint="eastAsia" w:ascii="仿宋" w:hAnsi="仿宋" w:eastAsia="仿宋" w:cs="宋体"/>
          <w:szCs w:val="32"/>
        </w:rPr>
        <w:t>元，在厉行节约的情况下，年末结余</w:t>
      </w:r>
      <w:r>
        <w:rPr>
          <w:rFonts w:ascii="仿宋" w:hAnsi="仿宋" w:eastAsia="仿宋" w:cs="宋体"/>
          <w:szCs w:val="32"/>
        </w:rPr>
        <w:t>89718.31</w:t>
      </w:r>
      <w:r>
        <w:rPr>
          <w:rFonts w:hint="eastAsia" w:ascii="仿宋" w:hAnsi="仿宋" w:eastAsia="仿宋" w:cs="宋体"/>
          <w:szCs w:val="32"/>
        </w:rPr>
        <w:t>元，因上年结余用于本年度支出。工资福利支出</w:t>
      </w:r>
      <w:r>
        <w:rPr>
          <w:rFonts w:ascii="仿宋" w:hAnsi="仿宋" w:eastAsia="仿宋" w:cs="宋体"/>
          <w:szCs w:val="32"/>
        </w:rPr>
        <w:t>665440.79</w:t>
      </w:r>
      <w:r>
        <w:rPr>
          <w:rFonts w:hint="eastAsia" w:ascii="仿宋" w:hAnsi="仿宋" w:eastAsia="仿宋" w:cs="宋体"/>
          <w:szCs w:val="32"/>
        </w:rPr>
        <w:t>元，商品和服务支出</w:t>
      </w:r>
      <w:r>
        <w:rPr>
          <w:rFonts w:ascii="仿宋" w:hAnsi="仿宋" w:eastAsia="仿宋" w:cs="宋体"/>
          <w:szCs w:val="32"/>
        </w:rPr>
        <w:t>286783.18</w:t>
      </w:r>
      <w:r>
        <w:rPr>
          <w:rFonts w:hint="eastAsia" w:ascii="仿宋" w:hAnsi="仿宋" w:eastAsia="仿宋" w:cs="宋体"/>
          <w:szCs w:val="32"/>
        </w:rPr>
        <w:t>元，，资本性支出2580元。</w:t>
      </w:r>
    </w:p>
    <w:p>
      <w:pPr>
        <w:autoSpaceDE w:val="0"/>
        <w:autoSpaceDN w:val="0"/>
        <w:adjustRightInd w:val="0"/>
        <w:spacing w:line="580" w:lineRule="exact"/>
        <w:ind w:firstLine="632" w:firstLineChars="200"/>
        <w:rPr>
          <w:rFonts w:ascii="仿宋" w:hAnsi="仿宋" w:eastAsia="仿宋" w:cs="宋体"/>
          <w:szCs w:val="32"/>
        </w:rPr>
      </w:pPr>
      <w:r>
        <w:rPr>
          <w:rFonts w:hint="eastAsia" w:ascii="仿宋" w:hAnsi="仿宋" w:eastAsia="仿宋" w:cs="宋体"/>
          <w:szCs w:val="32"/>
        </w:rPr>
        <w:t>3、2020年“三公”经费支出</w:t>
      </w:r>
      <w:r>
        <w:rPr>
          <w:rFonts w:ascii="仿宋" w:hAnsi="仿宋" w:eastAsia="仿宋" w:cs="宋体"/>
          <w:szCs w:val="32"/>
        </w:rPr>
        <w:t>54403.78</w:t>
      </w:r>
      <w:r>
        <w:rPr>
          <w:rFonts w:hint="eastAsia" w:ascii="仿宋" w:hAnsi="仿宋" w:eastAsia="仿宋" w:cs="宋体"/>
          <w:szCs w:val="32"/>
        </w:rPr>
        <w:t>元。</w:t>
      </w:r>
    </w:p>
    <w:p>
      <w:pPr>
        <w:tabs>
          <w:tab w:val="left" w:pos="360"/>
        </w:tabs>
        <w:spacing w:line="580" w:lineRule="exact"/>
        <w:ind w:firstLine="632" w:firstLineChars="200"/>
        <w:rPr>
          <w:rFonts w:ascii="楷体" w:hAnsi="楷体" w:eastAsia="楷体"/>
          <w:b/>
          <w:szCs w:val="32"/>
        </w:rPr>
      </w:pPr>
      <w:r>
        <w:rPr>
          <w:rFonts w:hint="eastAsia" w:ascii="楷体" w:hAnsi="楷体" w:eastAsia="楷体"/>
          <w:b/>
          <w:szCs w:val="32"/>
        </w:rPr>
        <w:t>二、绩效自评工作情况</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（一）绩效自评目的</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通过开展部门预算绩效评价，了解部门预算是否达到了预期目标，资金管理是否规范、资金使用是否有效，分析存在的问题及原因，及时总结经验，改进管理措施，不断增强和落实绩效管理，提高财政资金的运行效率。</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（二）自评指标体系</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1、目标投定：力争2020年全省森林公安机关年度考核优秀。</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2、预算执行：是否严格按照批复执行预算，并按照“三公经费”只减不增的要求，确保2020年部门“三公经费”预算数不超过上年决算数。</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3、预算管理：加强预算管理、规范财务行为。按照政府信息公开的有关规定公开相关预决信息。</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4、资产管理：规范固定资产的采购、使用、处置等工作，固定资产财务管理合规、财实相符、处罚规范。</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5、职责履行：单位履行职责而实际完成工作目标与作目标的对比。</w:t>
      </w:r>
    </w:p>
    <w:p>
      <w:pPr>
        <w:tabs>
          <w:tab w:val="left" w:pos="360"/>
        </w:tabs>
        <w:spacing w:line="580" w:lineRule="exact"/>
        <w:ind w:firstLine="632" w:firstLineChars="200"/>
        <w:rPr>
          <w:rFonts w:ascii="仿宋" w:hAnsi="仿宋" w:eastAsia="仿宋"/>
          <w:b/>
          <w:szCs w:val="32"/>
        </w:rPr>
      </w:pPr>
      <w:r>
        <w:rPr>
          <w:rFonts w:hint="eastAsia" w:ascii="仿宋" w:hAnsi="仿宋" w:eastAsia="仿宋"/>
          <w:b/>
          <w:szCs w:val="32"/>
        </w:rPr>
        <w:t>(三)自评组织过程</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1、前期准备</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一是高度重视，加强组织领导。把绩效考核工作作为一项重点工作来研究和部署。二是落实责任，强化考核任务落实，细化落实措施，做好工作谋划和考评指标跟踪，监控。</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2、组织实施</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收集整理相关资料，加快推进各项工作，增强工作紧迫感，坚持边开展、边探索、边完善，努力建立完善工作制度机制，加强管理，确保绩效考核取得好成绩。</w:t>
      </w:r>
    </w:p>
    <w:p>
      <w:pPr>
        <w:tabs>
          <w:tab w:val="left" w:pos="360"/>
        </w:tabs>
        <w:spacing w:line="580" w:lineRule="exact"/>
        <w:ind w:firstLine="632" w:firstLineChars="200"/>
        <w:rPr>
          <w:rFonts w:ascii="楷体" w:hAnsi="楷体" w:eastAsia="楷体"/>
          <w:b/>
          <w:szCs w:val="32"/>
        </w:rPr>
      </w:pPr>
      <w:r>
        <w:rPr>
          <w:rFonts w:hint="eastAsia" w:ascii="楷体" w:hAnsi="楷体" w:eastAsia="楷体"/>
          <w:b/>
          <w:szCs w:val="32"/>
        </w:rPr>
        <w:t>三、主要绩效及评价结论</w:t>
      </w:r>
    </w:p>
    <w:p>
      <w:pPr>
        <w:tabs>
          <w:tab w:val="left" w:pos="360"/>
        </w:tabs>
        <w:spacing w:line="580" w:lineRule="exact"/>
        <w:ind w:firstLine="632" w:firstLineChars="200"/>
        <w:rPr>
          <w:rFonts w:ascii="仿宋_GB2312" w:hAnsi="仿宋"/>
          <w:szCs w:val="32"/>
        </w:rPr>
      </w:pPr>
      <w:r>
        <w:rPr>
          <w:rFonts w:hint="eastAsia" w:ascii="仿宋_GB2312" w:hAnsi="仿宋"/>
          <w:szCs w:val="32"/>
        </w:rPr>
        <w:t>我局对2020年部门整体支出绩效进行了自查自评，部门总体目标和考核指标明确，工作决策流程完善且严格执行，有较为健全。科学的财务管理制度，财政资金到位及时，并能够按照相关规定使用和管理好资金。</w:t>
      </w:r>
    </w:p>
    <w:p>
      <w:pPr>
        <w:widowControl/>
        <w:spacing w:line="580" w:lineRule="exact"/>
        <w:ind w:firstLine="632" w:firstLineChars="200"/>
        <w:rPr>
          <w:rFonts w:ascii="仿宋" w:hAnsi="仿宋" w:eastAsia="仿宋"/>
          <w:szCs w:val="32"/>
        </w:rPr>
      </w:pPr>
      <w:r>
        <w:rPr>
          <w:rFonts w:hint="eastAsia" w:ascii="仿宋" w:hAnsi="仿宋" w:eastAsia="仿宋"/>
          <w:szCs w:val="32"/>
        </w:rPr>
        <w:t>1</w:t>
      </w:r>
      <w:r>
        <w:rPr>
          <w:rFonts w:ascii="仿宋" w:hAnsi="仿宋" w:eastAsia="仿宋"/>
          <w:szCs w:val="32"/>
        </w:rPr>
        <w:t>.</w:t>
      </w:r>
      <w:r>
        <w:rPr>
          <w:rFonts w:hint="eastAsia" w:ascii="仿宋" w:hAnsi="仿宋" w:eastAsia="仿宋"/>
          <w:szCs w:val="32"/>
        </w:rPr>
        <w:t>涉林案件查处情况。2</w:t>
      </w:r>
      <w:r>
        <w:rPr>
          <w:rFonts w:ascii="仿宋" w:hAnsi="仿宋" w:eastAsia="仿宋"/>
          <w:szCs w:val="32"/>
        </w:rPr>
        <w:t>020</w:t>
      </w:r>
      <w:r>
        <w:rPr>
          <w:rFonts w:hint="eastAsia" w:ascii="仿宋" w:hAnsi="仿宋" w:eastAsia="仿宋"/>
          <w:szCs w:val="32"/>
        </w:rPr>
        <w:t>年来截至今日，我局共查办林业行政案件</w:t>
      </w:r>
      <w:r>
        <w:rPr>
          <w:rFonts w:ascii="仿宋" w:hAnsi="仿宋" w:eastAsia="仿宋"/>
          <w:szCs w:val="32"/>
        </w:rPr>
        <w:t>1</w:t>
      </w:r>
      <w:r>
        <w:rPr>
          <w:rFonts w:hint="eastAsia" w:ascii="仿宋" w:hAnsi="仿宋" w:eastAsia="仿宋"/>
          <w:szCs w:val="32"/>
        </w:rPr>
        <w:t>起，罚款共</w:t>
      </w:r>
      <w:r>
        <w:rPr>
          <w:rFonts w:ascii="仿宋" w:hAnsi="仿宋" w:eastAsia="仿宋"/>
          <w:szCs w:val="32"/>
        </w:rPr>
        <w:t>1000</w:t>
      </w:r>
      <w:r>
        <w:rPr>
          <w:rFonts w:hint="eastAsia" w:ascii="仿宋" w:hAnsi="仿宋" w:eastAsia="仿宋"/>
          <w:szCs w:val="32"/>
        </w:rPr>
        <w:t>元；受理刑事案件3起，立破案各3起，取保候审3人，移送起诉3人，收缴各类野生动物5</w:t>
      </w:r>
      <w:r>
        <w:rPr>
          <w:rFonts w:ascii="仿宋" w:hAnsi="仿宋" w:eastAsia="仿宋"/>
          <w:szCs w:val="32"/>
        </w:rPr>
        <w:t>3</w:t>
      </w:r>
      <w:r>
        <w:rPr>
          <w:rFonts w:hint="eastAsia" w:ascii="仿宋" w:hAnsi="仿宋" w:eastAsia="仿宋"/>
          <w:szCs w:val="32"/>
        </w:rPr>
        <w:t>只，放生野生动物</w:t>
      </w:r>
      <w:r>
        <w:rPr>
          <w:rFonts w:ascii="仿宋" w:hAnsi="仿宋" w:eastAsia="仿宋"/>
          <w:szCs w:val="32"/>
        </w:rPr>
        <w:t>53</w:t>
      </w:r>
      <w:r>
        <w:rPr>
          <w:rFonts w:hint="eastAsia" w:ascii="仿宋" w:hAnsi="仿宋" w:eastAsia="仿宋"/>
          <w:szCs w:val="32"/>
        </w:rPr>
        <w:t>只，收缴猎具</w:t>
      </w:r>
      <w:r>
        <w:rPr>
          <w:rFonts w:ascii="仿宋" w:hAnsi="仿宋" w:eastAsia="仿宋"/>
          <w:szCs w:val="32"/>
        </w:rPr>
        <w:t>3</w:t>
      </w:r>
      <w:r>
        <w:rPr>
          <w:rFonts w:hint="eastAsia" w:ascii="仿宋" w:hAnsi="仿宋" w:eastAsia="仿宋"/>
          <w:szCs w:val="32"/>
        </w:rPr>
        <w:t>具；协助办理刑事案件</w:t>
      </w:r>
      <w:r>
        <w:rPr>
          <w:rFonts w:ascii="仿宋" w:hAnsi="仿宋" w:eastAsia="仿宋"/>
          <w:szCs w:val="32"/>
        </w:rPr>
        <w:t>2</w:t>
      </w:r>
      <w:r>
        <w:rPr>
          <w:rFonts w:hint="eastAsia" w:ascii="仿宋" w:hAnsi="仿宋" w:eastAsia="仿宋"/>
          <w:szCs w:val="32"/>
        </w:rPr>
        <w:t>起，调解涉林纠纷7起；开展专项行动，出动人员</w:t>
      </w:r>
      <w:r>
        <w:rPr>
          <w:rFonts w:ascii="仿宋" w:hAnsi="仿宋" w:eastAsia="仿宋"/>
          <w:szCs w:val="32"/>
        </w:rPr>
        <w:t>176</w:t>
      </w:r>
      <w:r>
        <w:rPr>
          <w:rFonts w:hint="eastAsia" w:ascii="仿宋" w:hAnsi="仿宋" w:eastAsia="仿宋"/>
          <w:szCs w:val="32"/>
        </w:rPr>
        <w:t>人次，车辆45台次，检查野生动物活动区域</w:t>
      </w:r>
      <w:r>
        <w:rPr>
          <w:rFonts w:ascii="仿宋" w:hAnsi="仿宋" w:eastAsia="仿宋"/>
          <w:szCs w:val="32"/>
        </w:rPr>
        <w:t>55</w:t>
      </w:r>
      <w:r>
        <w:rPr>
          <w:rFonts w:hint="eastAsia" w:ascii="仿宋" w:hAnsi="仿宋" w:eastAsia="仿宋"/>
          <w:szCs w:val="32"/>
        </w:rPr>
        <w:t>处（次），检查重点市场场所4</w:t>
      </w:r>
      <w:r>
        <w:rPr>
          <w:rFonts w:ascii="仿宋" w:hAnsi="仿宋" w:eastAsia="仿宋"/>
          <w:szCs w:val="32"/>
        </w:rPr>
        <w:t>7</w:t>
      </w:r>
      <w:r>
        <w:rPr>
          <w:rFonts w:hint="eastAsia" w:ascii="仿宋" w:hAnsi="仿宋" w:eastAsia="仿宋"/>
          <w:szCs w:val="32"/>
        </w:rPr>
        <w:t>处（次），检查野生动物驯养繁殖基地</w:t>
      </w:r>
      <w:r>
        <w:rPr>
          <w:rFonts w:ascii="仿宋" w:hAnsi="仿宋" w:eastAsia="仿宋"/>
          <w:szCs w:val="32"/>
        </w:rPr>
        <w:t>45</w:t>
      </w:r>
      <w:r>
        <w:rPr>
          <w:rFonts w:hint="eastAsia" w:ascii="仿宋" w:hAnsi="仿宋" w:eastAsia="仿宋"/>
          <w:szCs w:val="32"/>
        </w:rPr>
        <w:t>家（次），检查餐饮场所</w:t>
      </w:r>
      <w:r>
        <w:rPr>
          <w:rFonts w:ascii="仿宋" w:hAnsi="仿宋" w:eastAsia="仿宋"/>
          <w:szCs w:val="32"/>
        </w:rPr>
        <w:t>49</w:t>
      </w:r>
      <w:r>
        <w:rPr>
          <w:rFonts w:hint="eastAsia" w:ascii="仿宋" w:hAnsi="仿宋" w:eastAsia="仿宋"/>
          <w:szCs w:val="32"/>
        </w:rPr>
        <w:t>家（次）。</w:t>
      </w:r>
    </w:p>
    <w:p>
      <w:pPr>
        <w:spacing w:line="580" w:lineRule="exact"/>
        <w:ind w:firstLine="632" w:firstLineChars="200"/>
        <w:rPr>
          <w:rFonts w:ascii="仿宋" w:hAnsi="仿宋" w:eastAsia="仿宋"/>
          <w:szCs w:val="32"/>
        </w:rPr>
      </w:pPr>
      <w:r>
        <w:rPr>
          <w:rFonts w:hint="eastAsia" w:ascii="仿宋" w:hAnsi="仿宋" w:eastAsia="仿宋"/>
          <w:szCs w:val="32"/>
        </w:rPr>
        <w:t>2.“昆仑2020”专项行动工作情况。今年，公安部开展了“昆仑2</w:t>
      </w:r>
      <w:r>
        <w:rPr>
          <w:rFonts w:ascii="仿宋" w:hAnsi="仿宋" w:eastAsia="仿宋"/>
          <w:szCs w:val="32"/>
        </w:rPr>
        <w:t>020</w:t>
      </w:r>
      <w:r>
        <w:rPr>
          <w:rFonts w:hint="eastAsia" w:ascii="仿宋" w:hAnsi="仿宋" w:eastAsia="仿宋"/>
          <w:szCs w:val="32"/>
        </w:rPr>
        <w:t>”专项行动，省、市级公安机关相继完成专项行动的工作部署。南县森林公安局接上级森林公安机关指示，今年我局“昆仑2</w:t>
      </w:r>
      <w:r>
        <w:rPr>
          <w:rFonts w:ascii="仿宋" w:hAnsi="仿宋" w:eastAsia="仿宋"/>
          <w:szCs w:val="32"/>
        </w:rPr>
        <w:t>020”专项行动</w:t>
      </w:r>
      <w:r>
        <w:rPr>
          <w:rFonts w:hint="eastAsia" w:ascii="仿宋" w:hAnsi="仿宋" w:eastAsia="仿宋"/>
          <w:szCs w:val="32"/>
        </w:rPr>
        <w:t>侦办案件工作目标为</w:t>
      </w:r>
      <w:r>
        <w:rPr>
          <w:rFonts w:ascii="仿宋" w:hAnsi="仿宋" w:eastAsia="仿宋"/>
          <w:szCs w:val="32"/>
        </w:rPr>
        <w:t>3</w:t>
      </w:r>
      <w:r>
        <w:rPr>
          <w:rFonts w:hint="eastAsia" w:ascii="仿宋" w:hAnsi="仿宋" w:eastAsia="仿宋"/>
          <w:szCs w:val="32"/>
        </w:rPr>
        <w:t>起。初步工作:成立了专项行动工作领导小组，动员全局民警开展部署会议，制定了专项行动方案，分配了摸排线索的任务并且明确了打击重点方向——破坏野生动物资源犯罪。现我局专项行动已经进入了收网阶段，整个专项行动持续将到今年</w:t>
      </w:r>
      <w:r>
        <w:rPr>
          <w:rFonts w:ascii="仿宋" w:hAnsi="仿宋" w:eastAsia="仿宋"/>
          <w:szCs w:val="32"/>
        </w:rPr>
        <w:t>12</w:t>
      </w:r>
      <w:r>
        <w:rPr>
          <w:rFonts w:hint="eastAsia" w:ascii="仿宋" w:hAnsi="仿宋" w:eastAsia="仿宋"/>
          <w:szCs w:val="32"/>
        </w:rPr>
        <w:t>月。</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3. 今年以来，南县森林公安局协助南县应急管理局用于森林防火巡查的警车出动</w:t>
      </w:r>
      <w:r>
        <w:rPr>
          <w:rFonts w:ascii="仿宋" w:hAnsi="仿宋" w:eastAsia="仿宋"/>
          <w:szCs w:val="32"/>
        </w:rPr>
        <w:t>34</w:t>
      </w:r>
      <w:r>
        <w:rPr>
          <w:rFonts w:hint="eastAsia" w:ascii="仿宋" w:hAnsi="仿宋" w:eastAsia="仿宋"/>
          <w:szCs w:val="32"/>
        </w:rPr>
        <w:t>台次，出动警力</w:t>
      </w:r>
      <w:r>
        <w:rPr>
          <w:rFonts w:ascii="仿宋" w:hAnsi="仿宋" w:eastAsia="仿宋"/>
          <w:szCs w:val="32"/>
        </w:rPr>
        <w:t>89</w:t>
      </w:r>
      <w:r>
        <w:rPr>
          <w:rFonts w:hint="eastAsia" w:ascii="仿宋" w:hAnsi="仿宋" w:eastAsia="仿宋"/>
          <w:szCs w:val="32"/>
        </w:rPr>
        <w:t>人次，在元旦、春节、清明、中秋、国庆等节假日特殊时段安排民警轮流值班待命。</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2020年，森林公安从履职及履职效益情况来看，整体执行情况正常，效果良好。</w:t>
      </w:r>
    </w:p>
    <w:p>
      <w:pPr>
        <w:tabs>
          <w:tab w:val="left" w:pos="360"/>
        </w:tabs>
        <w:spacing w:line="580" w:lineRule="exact"/>
        <w:ind w:firstLine="632" w:firstLineChars="200"/>
        <w:rPr>
          <w:rFonts w:ascii="楷体" w:hAnsi="楷体" w:eastAsia="楷体"/>
          <w:b/>
          <w:szCs w:val="32"/>
        </w:rPr>
      </w:pPr>
      <w:r>
        <w:rPr>
          <w:rFonts w:hint="eastAsia" w:ascii="楷体" w:hAnsi="楷体" w:eastAsia="楷体"/>
          <w:b/>
          <w:szCs w:val="32"/>
        </w:rPr>
        <w:t>四、存在的主要问题</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（一）任务重，警力不足。由于我局编制少，警力不足，森林防火、候鸟保护、案件办理和林区治安管理等工作量大，致使每位干警多是超负荷工作，处于严重过劳状态。</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二）经费紧，来源单一。我局自2013年起实行财政独立核算，资金压力大，资金来源方式单一，县财政只保障我局人员和部份公用经费，专项经费大部分来源中央、省级财政森林公安补助资金，中央、省级财政森林公安补助资逐年减少，专项资金无法满足我局实际业务工作需要，且协警经费财政预算严重不足，影响全局工作。</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（三）无独立的办公、办案场所和业务用房。我局没有独立的办公、办案场所，目前是占用林业局的办公楼开展工作，各项基础设施老旧，且不是封闭办公楼，对案件办理及保护犯罪嫌疑人人身安全存在隐患。</w:t>
      </w:r>
    </w:p>
    <w:p>
      <w:pPr>
        <w:tabs>
          <w:tab w:val="left" w:pos="360"/>
        </w:tabs>
        <w:spacing w:line="580" w:lineRule="exact"/>
        <w:ind w:firstLine="632" w:firstLineChars="200"/>
        <w:rPr>
          <w:rFonts w:ascii="楷体" w:hAnsi="楷体" w:eastAsia="楷体"/>
          <w:b/>
          <w:szCs w:val="32"/>
        </w:rPr>
      </w:pPr>
      <w:r>
        <w:rPr>
          <w:rFonts w:hint="eastAsia" w:ascii="楷体" w:hAnsi="楷体" w:eastAsia="楷体"/>
          <w:b/>
          <w:szCs w:val="32"/>
        </w:rPr>
        <w:t>五、改进措施和有关建设</w:t>
      </w:r>
    </w:p>
    <w:p>
      <w:pPr>
        <w:tabs>
          <w:tab w:val="left" w:pos="360"/>
        </w:tabs>
        <w:spacing w:line="580" w:lineRule="exact"/>
        <w:ind w:firstLine="632" w:firstLineChars="200"/>
        <w:rPr>
          <w:rFonts w:ascii="仿宋" w:hAnsi="仿宋" w:eastAsia="仿宋"/>
          <w:szCs w:val="32"/>
        </w:rPr>
      </w:pPr>
      <w:r>
        <w:rPr>
          <w:rFonts w:hint="eastAsia" w:ascii="仿宋" w:hAnsi="仿宋" w:eastAsia="仿宋"/>
          <w:szCs w:val="32"/>
        </w:rPr>
        <w:t>建设加大财政预算经费投入力度，补足工作经费补足，完善基础设施，保障各项工作顺利开展，加强各项资金管理，实现资金的规范、高效、安全和廉洁使用。</w:t>
      </w:r>
    </w:p>
    <w:p>
      <w:pPr>
        <w:tabs>
          <w:tab w:val="left" w:pos="360"/>
        </w:tabs>
        <w:spacing w:line="580" w:lineRule="exact"/>
        <w:ind w:firstLine="632" w:firstLineChars="200"/>
        <w:rPr>
          <w:rFonts w:ascii="仿宋" w:hAnsi="仿宋" w:eastAsia="仿宋"/>
          <w:szCs w:val="32"/>
        </w:rPr>
      </w:pPr>
    </w:p>
    <w:p>
      <w:pPr>
        <w:tabs>
          <w:tab w:val="left" w:pos="360"/>
        </w:tabs>
        <w:spacing w:line="580" w:lineRule="exact"/>
        <w:ind w:firstLine="632" w:firstLineChars="200"/>
        <w:rPr>
          <w:rFonts w:ascii="仿宋" w:hAnsi="仿宋" w:eastAsia="仿宋"/>
          <w:szCs w:val="32"/>
        </w:rPr>
      </w:pPr>
    </w:p>
    <w:p>
      <w:pPr>
        <w:tabs>
          <w:tab w:val="left" w:pos="360"/>
        </w:tabs>
        <w:spacing w:line="580" w:lineRule="exact"/>
        <w:ind w:firstLine="632" w:firstLineChars="200"/>
        <w:rPr>
          <w:rFonts w:ascii="仿宋" w:hAnsi="仿宋" w:eastAsia="仿宋"/>
          <w:szCs w:val="32"/>
        </w:rPr>
      </w:pPr>
    </w:p>
    <w:p>
      <w:pPr>
        <w:tabs>
          <w:tab w:val="left" w:pos="360"/>
        </w:tabs>
        <w:spacing w:line="580" w:lineRule="exact"/>
        <w:ind w:firstLine="632" w:firstLineChars="200"/>
        <w:rPr>
          <w:rFonts w:ascii="仿宋" w:hAnsi="仿宋" w:eastAsia="仿宋"/>
          <w:szCs w:val="32"/>
        </w:rPr>
      </w:pPr>
    </w:p>
    <w:p>
      <w:pPr>
        <w:tabs>
          <w:tab w:val="left" w:pos="360"/>
        </w:tabs>
        <w:spacing w:line="580" w:lineRule="exact"/>
        <w:ind w:right="158"/>
        <w:jc w:val="right"/>
        <w:rPr>
          <w:rFonts w:ascii="仿宋" w:hAnsi="仿宋" w:eastAsia="仿宋"/>
          <w:szCs w:val="32"/>
        </w:rPr>
      </w:pPr>
      <w:r>
        <w:rPr>
          <w:rFonts w:hint="eastAsia" w:ascii="仿宋" w:hAnsi="仿宋" w:eastAsia="仿宋"/>
          <w:szCs w:val="32"/>
        </w:rPr>
        <w:t xml:space="preserve">南县森林公安局     </w:t>
      </w:r>
    </w:p>
    <w:p>
      <w:pPr>
        <w:tabs>
          <w:tab w:val="left" w:pos="360"/>
        </w:tabs>
        <w:spacing w:line="580" w:lineRule="exact"/>
        <w:jc w:val="right"/>
        <w:rPr>
          <w:rFonts w:ascii="仿宋" w:hAnsi="仿宋" w:eastAsia="仿宋"/>
          <w:szCs w:val="32"/>
        </w:rPr>
      </w:pPr>
      <w:r>
        <w:rPr>
          <w:rFonts w:hint="eastAsia" w:ascii="仿宋" w:hAnsi="仿宋" w:eastAsia="仿宋"/>
          <w:szCs w:val="32"/>
        </w:rPr>
        <w:t>2021年3月15日</w:t>
      </w:r>
    </w:p>
    <w:p>
      <w:pPr>
        <w:tabs>
          <w:tab w:val="left" w:pos="360"/>
        </w:tabs>
        <w:spacing w:line="580" w:lineRule="exact"/>
        <w:jc w:val="right"/>
        <w:rPr>
          <w:rFonts w:ascii="仿宋" w:hAnsi="仿宋" w:eastAsia="仿宋"/>
          <w:szCs w:val="32"/>
        </w:rPr>
      </w:pPr>
    </w:p>
    <w:p>
      <w:pPr>
        <w:tabs>
          <w:tab w:val="left" w:pos="360"/>
        </w:tabs>
        <w:spacing w:line="580" w:lineRule="exact"/>
        <w:jc w:val="right"/>
        <w:rPr>
          <w:rFonts w:ascii="仿宋" w:hAnsi="仿宋" w:eastAsia="仿宋"/>
          <w:szCs w:val="32"/>
        </w:rPr>
      </w:pPr>
    </w:p>
    <w:p>
      <w:pPr>
        <w:tabs>
          <w:tab w:val="left" w:pos="360"/>
        </w:tabs>
        <w:spacing w:line="580" w:lineRule="exact"/>
        <w:jc w:val="right"/>
        <w:rPr>
          <w:rFonts w:ascii="仿宋" w:hAnsi="仿宋" w:eastAsia="仿宋"/>
          <w:szCs w:val="32"/>
        </w:rPr>
      </w:pPr>
    </w:p>
    <w:p>
      <w:pPr>
        <w:spacing w:line="560" w:lineRule="exact"/>
        <w:ind w:firstLine="560"/>
        <w:rPr>
          <w:rFonts w:ascii="黑体" w:hAnsi="黑体" w:eastAsia="黑体"/>
          <w:color w:val="000000"/>
          <w:sz w:val="28"/>
          <w:szCs w:val="28"/>
        </w:rPr>
      </w:pPr>
    </w:p>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ascii="黑体" w:hAnsi="黑体" w:eastAsia="黑体"/>
          <w:color w:val="000000"/>
        </w:rPr>
      </w:pPr>
    </w:p>
    <w:tbl>
      <w:tblPr>
        <w:tblStyle w:val="6"/>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一级</w:t>
            </w:r>
            <w:r>
              <w:rPr>
                <w:rFonts w:hint="eastAsia" w:ascii="宋体" w:hAnsi="宋体" w:eastAsia="宋体"/>
                <w:color w:val="000000"/>
                <w:sz w:val="21"/>
                <w:szCs w:val="21"/>
              </w:rPr>
              <w:br w:type="textWrapping"/>
            </w:r>
            <w:r>
              <w:rPr>
                <w:rFonts w:hint="eastAsia" w:ascii="宋体" w:hAnsi="宋体" w:eastAsia="宋体"/>
                <w:color w:val="000000"/>
                <w:sz w:val="21"/>
                <w:szCs w:val="21"/>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二级</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三级</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指标</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投 入</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目标</w:t>
            </w:r>
            <w:r>
              <w:rPr>
                <w:rFonts w:hint="eastAsia" w:ascii="宋体" w:hAnsi="宋体" w:eastAsia="宋体"/>
                <w:color w:val="000000"/>
                <w:sz w:val="18"/>
                <w:szCs w:val="18"/>
              </w:rPr>
              <w:br w:type="textWrapping"/>
            </w:r>
            <w:r>
              <w:rPr>
                <w:rFonts w:hint="eastAsia" w:ascii="宋体" w:hAnsi="宋体" w:eastAsia="宋体"/>
                <w:color w:val="000000"/>
                <w:sz w:val="18"/>
                <w:szCs w:val="18"/>
              </w:rPr>
              <w:t>设定</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eastAsia="宋体"/>
                <w:color w:val="000000"/>
                <w:sz w:val="18"/>
                <w:szCs w:val="18"/>
              </w:rPr>
            </w:pPr>
            <w:r>
              <w:rPr>
                <w:rFonts w:hint="eastAsia" w:ascii="宋体" w:hAnsi="宋体" w:eastAsia="宋体"/>
                <w:color w:val="000000"/>
                <w:sz w:val="18"/>
                <w:szCs w:val="18"/>
              </w:rPr>
              <w:t>绩效目标</w:t>
            </w:r>
          </w:p>
          <w:p>
            <w:pPr>
              <w:spacing w:line="240" w:lineRule="exact"/>
              <w:rPr>
                <w:rFonts w:ascii="宋体" w:hAnsi="宋体" w:eastAsia="宋体"/>
                <w:color w:val="000000"/>
                <w:sz w:val="18"/>
                <w:szCs w:val="18"/>
              </w:rPr>
            </w:pPr>
            <w:r>
              <w:rPr>
                <w:rFonts w:hint="eastAsia" w:ascii="宋体" w:hAnsi="宋体" w:eastAsia="宋体"/>
                <w:color w:val="000000"/>
                <w:sz w:val="18"/>
                <w:szCs w:val="18"/>
              </w:rPr>
              <w:t>合 理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eastAsia="宋体"/>
                <w:color w:val="000000"/>
                <w:sz w:val="18"/>
                <w:szCs w:val="18"/>
              </w:rPr>
            </w:pPr>
            <w:r>
              <w:rPr>
                <w:rFonts w:hint="eastAsia" w:ascii="宋体" w:hAnsi="宋体" w:eastAsia="宋体"/>
                <w:color w:val="000000"/>
                <w:sz w:val="18"/>
                <w:szCs w:val="18"/>
              </w:rPr>
              <w:t>绩效指标</w:t>
            </w:r>
          </w:p>
          <w:p>
            <w:pPr>
              <w:spacing w:line="240" w:lineRule="exact"/>
              <w:rPr>
                <w:rFonts w:ascii="宋体" w:hAnsi="宋体" w:eastAsia="宋体"/>
                <w:color w:val="000000"/>
                <w:sz w:val="18"/>
                <w:szCs w:val="18"/>
              </w:rPr>
            </w:pPr>
            <w:r>
              <w:rPr>
                <w:rFonts w:hint="eastAsia" w:ascii="宋体" w:hAnsi="宋体" w:eastAsia="宋体"/>
                <w:color w:val="000000"/>
                <w:sz w:val="18"/>
                <w:szCs w:val="18"/>
              </w:rPr>
              <w:t>明 确 性</w:t>
            </w:r>
          </w:p>
          <w:p>
            <w:pPr>
              <w:spacing w:line="240" w:lineRule="exact"/>
              <w:rPr>
                <w:rFonts w:ascii="宋体" w:hAnsi="宋体" w:eastAsia="宋体"/>
                <w:color w:val="000000"/>
                <w:sz w:val="18"/>
                <w:szCs w:val="18"/>
              </w:rPr>
            </w:pPr>
            <w:r>
              <w:rPr>
                <w:rFonts w:hint="eastAsia" w:ascii="宋体" w:hAnsi="宋体" w:eastAsia="宋体"/>
                <w:color w:val="000000"/>
                <w:sz w:val="18"/>
                <w:szCs w:val="18"/>
              </w:rPr>
              <w:t>（3分）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预算</w:t>
            </w:r>
            <w:r>
              <w:rPr>
                <w:rFonts w:hint="eastAsia" w:ascii="宋体" w:hAnsi="宋体" w:eastAsia="宋体"/>
                <w:color w:val="000000"/>
                <w:sz w:val="18"/>
                <w:szCs w:val="18"/>
              </w:rPr>
              <w:br w:type="textWrapping"/>
            </w:r>
            <w:r>
              <w:rPr>
                <w:rFonts w:hint="eastAsia" w:ascii="宋体" w:hAnsi="宋体" w:eastAsia="宋体"/>
                <w:color w:val="000000"/>
                <w:sz w:val="18"/>
                <w:szCs w:val="18"/>
              </w:rPr>
              <w:t>配置</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eastAsia="宋体"/>
                <w:color w:val="000000"/>
                <w:sz w:val="18"/>
                <w:szCs w:val="18"/>
              </w:rPr>
            </w:pPr>
            <w:r>
              <w:rPr>
                <w:rFonts w:hint="eastAsia" w:ascii="宋体" w:hAnsi="宋体" w:eastAsia="宋体"/>
                <w:color w:val="000000"/>
                <w:sz w:val="18"/>
                <w:szCs w:val="18"/>
              </w:rPr>
              <w:t>在职人员</w:t>
            </w:r>
          </w:p>
          <w:p>
            <w:pPr>
              <w:spacing w:line="240" w:lineRule="exact"/>
              <w:rPr>
                <w:rFonts w:ascii="宋体" w:hAnsi="宋体" w:eastAsia="宋体"/>
                <w:color w:val="000000"/>
                <w:sz w:val="18"/>
                <w:szCs w:val="18"/>
              </w:rPr>
            </w:pPr>
            <w:r>
              <w:rPr>
                <w:rFonts w:hint="eastAsia" w:ascii="宋体" w:hAnsi="宋体" w:eastAsia="宋体"/>
                <w:color w:val="000000"/>
                <w:sz w:val="18"/>
                <w:szCs w:val="18"/>
              </w:rPr>
              <w:t>控 制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“三公</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经费”</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变动率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重点支出安 排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过  程</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预算</w:t>
            </w:r>
            <w:r>
              <w:rPr>
                <w:rFonts w:hint="eastAsia" w:ascii="宋体" w:hAnsi="宋体" w:eastAsia="宋体"/>
                <w:color w:val="000000"/>
                <w:sz w:val="18"/>
                <w:szCs w:val="18"/>
              </w:rPr>
              <w:br w:type="textWrapping"/>
            </w:r>
            <w:r>
              <w:rPr>
                <w:rFonts w:hint="eastAsia" w:ascii="宋体" w:hAnsi="宋体" w:eastAsia="宋体"/>
                <w:color w:val="000000"/>
                <w:sz w:val="18"/>
                <w:szCs w:val="18"/>
              </w:rPr>
              <w:t>执行</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  算</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完成率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  算</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调整率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支  付</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进度率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结转结余控 制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3</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公用经费控制率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政府采购执 行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预算</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管理</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管理制度健 全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资金使用合 规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预决算信息公开性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基础信息完 善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资产</w:t>
            </w:r>
            <w:r>
              <w:rPr>
                <w:rFonts w:hint="eastAsia" w:ascii="宋体" w:hAnsi="宋体" w:eastAsia="宋体"/>
                <w:color w:val="000000"/>
                <w:sz w:val="18"/>
                <w:szCs w:val="18"/>
              </w:rPr>
              <w:br w:type="textWrapping"/>
            </w:r>
            <w:r>
              <w:rPr>
                <w:rFonts w:hint="eastAsia" w:ascii="宋体" w:hAnsi="宋体" w:eastAsia="宋体"/>
                <w:color w:val="000000"/>
                <w:sz w:val="18"/>
                <w:szCs w:val="18"/>
              </w:rPr>
              <w:t>管理</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管理制度健 全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nil"/>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资产管理安 全 性</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nil"/>
              <w:right w:val="single" w:color="auto" w:sz="4" w:space="0"/>
            </w:tcBorders>
            <w:vAlign w:val="center"/>
          </w:tcPr>
          <w:p>
            <w:pPr>
              <w:widowControl/>
              <w:jc w:val="left"/>
              <w:rPr>
                <w:rFonts w:ascii="宋体" w:hAnsi="宋体" w:eastAsia="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固定资产利 用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产  出</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职责</w:t>
            </w:r>
            <w:r>
              <w:rPr>
                <w:rFonts w:hint="eastAsia" w:ascii="宋体" w:hAnsi="宋体" w:eastAsia="宋体"/>
                <w:color w:val="000000"/>
                <w:sz w:val="18"/>
                <w:szCs w:val="18"/>
              </w:rPr>
              <w:br w:type="textWrapping"/>
            </w:r>
            <w:r>
              <w:rPr>
                <w:rFonts w:hint="eastAsia" w:ascii="宋体" w:hAnsi="宋体" w:eastAsia="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实  际</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完成率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（8分）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完  成</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及时率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质  量</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达标率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（8分）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重点工作办 结 率</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（10分）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效  果</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履职</w:t>
            </w:r>
            <w:r>
              <w:rPr>
                <w:rFonts w:hint="eastAsia" w:ascii="宋体" w:hAnsi="宋体" w:eastAsia="宋体"/>
                <w:color w:val="000000"/>
                <w:sz w:val="18"/>
                <w:szCs w:val="18"/>
              </w:rPr>
              <w:br w:type="textWrapping"/>
            </w:r>
            <w:r>
              <w:rPr>
                <w:rFonts w:hint="eastAsia" w:ascii="宋体" w:hAnsi="宋体" w:eastAsia="宋体"/>
                <w:color w:val="000000"/>
                <w:sz w:val="18"/>
                <w:szCs w:val="18"/>
              </w:rPr>
              <w:t>效益</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经济效益</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社会效益</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生态效益</w:t>
            </w:r>
          </w:p>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63" w:leftChars="20"/>
              <w:rPr>
                <w:rFonts w:ascii="宋体" w:hAnsi="宋体" w:eastAsia="宋体"/>
                <w:color w:val="000000"/>
                <w:sz w:val="18"/>
                <w:szCs w:val="18"/>
              </w:rPr>
            </w:pPr>
            <w:r>
              <w:rPr>
                <w:rFonts w:hint="eastAsia" w:ascii="宋体" w:hAnsi="宋体" w:eastAsia="宋体"/>
                <w:color w:val="000000"/>
                <w:kern w:val="0"/>
                <w:sz w:val="18"/>
                <w:szCs w:val="18"/>
              </w:rPr>
              <w:t>按收集到的服务对象的满意率计算得分（5分）</w:t>
            </w:r>
          </w:p>
        </w:tc>
      </w:tr>
    </w:tbl>
    <w:p>
      <w:pPr>
        <w:shd w:val="clear" w:color="auto" w:fill="FFFFFF"/>
        <w:spacing w:line="580" w:lineRule="exact"/>
        <w:ind w:firstLine="640"/>
        <w:rPr>
          <w:rFonts w:ascii="仿宋_GB2312"/>
          <w:color w:val="000000"/>
        </w:rPr>
      </w:pPr>
    </w:p>
    <w:p>
      <w:pPr>
        <w:shd w:val="clear" w:color="auto" w:fill="FFFFFF"/>
        <w:spacing w:line="580" w:lineRule="exact"/>
        <w:ind w:firstLine="640"/>
        <w:rPr>
          <w:rFonts w:ascii="仿宋_GB2312"/>
          <w:color w:val="000000"/>
        </w:rPr>
      </w:pPr>
    </w:p>
    <w:p>
      <w:pPr>
        <w:spacing w:line="560" w:lineRule="exact"/>
        <w:rPr>
          <w:rFonts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ascii="方正小标宋_GBK" w:hAnsi="黑体" w:eastAsia="方正小标宋_GBK"/>
          <w:color w:val="000000"/>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二级</w:t>
            </w:r>
          </w:p>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三级</w:t>
            </w:r>
          </w:p>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决策</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（20分）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目标</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目标</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内容</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 xml:space="preserve">设有目标（1分）   </w:t>
            </w:r>
          </w:p>
          <w:p>
            <w:pPr>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 xml:space="preserve">目标明确（1分）   </w:t>
            </w:r>
          </w:p>
          <w:p>
            <w:pPr>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 xml:space="preserve">目标细化（1分）    </w:t>
            </w:r>
          </w:p>
          <w:p>
            <w:pPr>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决策</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过程</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决策</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依据</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符合法律法规（1分）符合经济社会发展规划（1分）</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部门年度工作计划（1分）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决策</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程序</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符合申报条件（2分）项目申报、批复程序符合管理办法（1分）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资金</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分配</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分配</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办法</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有相应的资金管理办法（1分）</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办法健全、规范（1分）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分配</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结果</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（5分）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符合分配办法（2分）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管理 （25分）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资金</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到位</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（5分）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到位率</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实际到位/计划到位*100%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到位</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时效</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（2分）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到位及时（2分）</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不及时但未影响项目进度 （1分）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资金</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管理</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（10分）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资金</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使用</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（7分）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 xml:space="preserve">虚列套取扣4-7分 </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依据不合规扣2分</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截留、挤占、挪用扣3-6分</w:t>
            </w:r>
          </w:p>
          <w:p>
            <w:pPr>
              <w:widowControl/>
              <w:autoSpaceDE w:val="0"/>
              <w:spacing w:line="260" w:lineRule="exact"/>
              <w:ind w:left="63" w:leftChars="20"/>
              <w:jc w:val="left"/>
              <w:rPr>
                <w:rFonts w:ascii="宋体" w:hAnsi="宋体" w:eastAsia="宋体"/>
                <w:color w:val="000000"/>
                <w:kern w:val="0"/>
                <w:sz w:val="20"/>
                <w:szCs w:val="20"/>
              </w:rPr>
            </w:pPr>
            <w:r>
              <w:rPr>
                <w:rFonts w:hint="eastAsia" w:ascii="宋体" w:hAnsi="宋体" w:eastAsia="宋体"/>
                <w:color w:val="000000"/>
                <w:kern w:val="0"/>
                <w:sz w:val="20"/>
                <w:szCs w:val="20"/>
              </w:rPr>
              <w:t>超标准开支扣2-5分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财务</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管理</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组织</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实施</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（10分）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组织</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机构</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（1分）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实施</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管理</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制度</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（6分）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管理制度健全（2分）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p>
          <w:p>
            <w:pPr>
              <w:widowControl/>
              <w:spacing w:line="260" w:lineRule="exact"/>
              <w:jc w:val="center"/>
              <w:rPr>
                <w:rFonts w:ascii="宋体" w:hAnsi="宋体" w:eastAsia="宋体"/>
                <w:color w:val="000000"/>
                <w:kern w:val="0"/>
                <w:sz w:val="20"/>
                <w:szCs w:val="20"/>
              </w:rPr>
            </w:pPr>
          </w:p>
          <w:p>
            <w:pPr>
              <w:widowControl/>
              <w:spacing w:line="260" w:lineRule="exact"/>
              <w:jc w:val="center"/>
              <w:rPr>
                <w:rFonts w:ascii="宋体" w:hAnsi="宋体" w:eastAsia="宋体"/>
                <w:color w:val="000000"/>
                <w:kern w:val="0"/>
                <w:sz w:val="20"/>
                <w:szCs w:val="20"/>
              </w:rPr>
            </w:pP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绩效</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（55分）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p>
          <w:p>
            <w:pPr>
              <w:widowControl/>
              <w:spacing w:line="260" w:lineRule="exact"/>
              <w:jc w:val="center"/>
              <w:rPr>
                <w:rFonts w:ascii="宋体" w:hAnsi="宋体" w:eastAsia="宋体"/>
                <w:color w:val="000000"/>
                <w:kern w:val="0"/>
                <w:sz w:val="20"/>
                <w:szCs w:val="20"/>
              </w:rPr>
            </w:pP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产出</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（15分）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产出</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数量</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（5分）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产出</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质量</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产出</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时效</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产出</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成本</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 w:val="20"/>
                <w:szCs w:val="20"/>
              </w:rPr>
            </w:pP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项目</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效果</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（40分）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经济</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效益</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社会</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效益</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环境</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效益</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可持续影响</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项目产出能持续运用（4分）</w:t>
            </w:r>
          </w:p>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服务</w:t>
            </w:r>
          </w:p>
          <w:p>
            <w:pPr>
              <w:widowControl/>
              <w:spacing w:line="260" w:lineRule="exact"/>
              <w:jc w:val="center"/>
              <w:rPr>
                <w:rFonts w:ascii="宋体" w:hAnsi="宋体" w:eastAsia="宋体"/>
                <w:color w:val="000000"/>
                <w:kern w:val="0"/>
                <w:sz w:val="20"/>
                <w:szCs w:val="20"/>
              </w:rPr>
            </w:pPr>
            <w:r>
              <w:rPr>
                <w:rFonts w:hint="eastAsia" w:ascii="宋体" w:hAnsi="宋体" w:eastAsia="宋体"/>
                <w:color w:val="000000"/>
                <w:kern w:val="0"/>
                <w:sz w:val="20"/>
                <w:szCs w:val="20"/>
              </w:rPr>
              <w:t>对象满意度</w:t>
            </w:r>
          </w:p>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63" w:leftChars="20"/>
              <w:jc w:val="left"/>
              <w:rPr>
                <w:rFonts w:ascii="宋体" w:hAnsi="宋体" w:eastAsia="宋体" w:cs="宋体"/>
                <w:color w:val="000000"/>
                <w:kern w:val="0"/>
                <w:sz w:val="20"/>
                <w:szCs w:val="20"/>
              </w:rPr>
            </w:pPr>
            <w:r>
              <w:rPr>
                <w:rFonts w:hint="eastAsia" w:ascii="宋体" w:hAnsi="宋体" w:eastAsia="宋体"/>
                <w:color w:val="000000"/>
                <w:kern w:val="0"/>
                <w:sz w:val="20"/>
                <w:szCs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总</w:t>
            </w:r>
            <w:r>
              <w:rPr>
                <w:rFonts w:ascii="宋体" w:hAnsi="宋体" w:eastAsia="宋体" w:cs="Calibri"/>
                <w:color w:val="000000"/>
                <w:kern w:val="0"/>
                <w:sz w:val="20"/>
                <w:szCs w:val="20"/>
              </w:rPr>
              <w:t> </w:t>
            </w:r>
            <w:r>
              <w:rPr>
                <w:rFonts w:hint="eastAsia" w:ascii="宋体" w:hAnsi="宋体" w:eastAsia="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 w:val="20"/>
                <w:szCs w:val="20"/>
              </w:rPr>
            </w:pPr>
            <w:r>
              <w:rPr>
                <w:rFonts w:hint="eastAsia" w:ascii="宋体" w:hAnsi="宋体" w:eastAsia="宋体"/>
                <w:color w:val="000000"/>
                <w:kern w:val="0"/>
                <w:sz w:val="20"/>
                <w:szCs w:val="20"/>
              </w:rPr>
              <w:t>　</w:t>
            </w:r>
          </w:p>
        </w:tc>
      </w:tr>
    </w:tbl>
    <w:p>
      <w:pPr>
        <w:ind w:firstLine="640"/>
        <w:rPr>
          <w:rFonts w:ascii="仿宋_GB2312" w:hAnsi="宋体"/>
          <w:color w:val="000000"/>
        </w:rPr>
      </w:pPr>
    </w:p>
    <w:p>
      <w:pPr>
        <w:shd w:val="clear" w:color="auto" w:fill="FFFFFF"/>
        <w:spacing w:line="580" w:lineRule="exact"/>
        <w:ind w:firstLine="640"/>
        <w:rPr>
          <w:rFonts w:ascii="仿宋_GB2312"/>
          <w:color w:val="000000"/>
        </w:rPr>
      </w:pPr>
    </w:p>
    <w:p>
      <w:pPr>
        <w:tabs>
          <w:tab w:val="left" w:pos="360"/>
        </w:tabs>
        <w:spacing w:line="580" w:lineRule="exact"/>
        <w:ind w:right="632"/>
        <w:rPr>
          <w:rFonts w:ascii="仿宋" w:hAnsi="仿宋" w:eastAsia="仿宋"/>
          <w:szCs w:val="32"/>
        </w:rPr>
      </w:pPr>
      <w:r>
        <w:rPr>
          <w:rFonts w:hint="eastAsia" w:ascii="仿宋" w:hAnsi="仿宋" w:eastAsia="仿宋"/>
          <w:szCs w:val="32"/>
        </w:rPr>
        <w:t xml:space="preserve">   </w:t>
      </w:r>
    </w:p>
    <w:sectPr>
      <w:footerReference r:id="rId3" w:type="default"/>
      <w:footerReference r:id="rId4" w:type="even"/>
      <w:pgSz w:w="11906" w:h="16838"/>
      <w:pgMar w:top="1440" w:right="1797" w:bottom="1440" w:left="1797" w:header="851" w:footer="99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11 -</w:t>
    </w:r>
    <w:r>
      <w:rPr>
        <w:sz w:val="21"/>
        <w:szCs w:val="21"/>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798" w:y="2"/>
      <w:rPr>
        <w:rStyle w:val="8"/>
        <w:rFonts w:ascii="宋体" w:hAnsi="宋体" w:eastAsia="宋体"/>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- 12 -</w:t>
    </w:r>
    <w:r>
      <w:rPr>
        <w:sz w:val="24"/>
        <w:szCs w:val="24"/>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5247B"/>
    <w:rsid w:val="00073F97"/>
    <w:rsid w:val="00084AA0"/>
    <w:rsid w:val="000866CE"/>
    <w:rsid w:val="000B585A"/>
    <w:rsid w:val="000F15BB"/>
    <w:rsid w:val="000F3060"/>
    <w:rsid w:val="00115FC7"/>
    <w:rsid w:val="001315DC"/>
    <w:rsid w:val="001766BA"/>
    <w:rsid w:val="001A4EC2"/>
    <w:rsid w:val="001B2916"/>
    <w:rsid w:val="002013A0"/>
    <w:rsid w:val="00216A76"/>
    <w:rsid w:val="00220BB0"/>
    <w:rsid w:val="00287FF4"/>
    <w:rsid w:val="003033C7"/>
    <w:rsid w:val="0036197F"/>
    <w:rsid w:val="003B7E22"/>
    <w:rsid w:val="003F6229"/>
    <w:rsid w:val="004054C7"/>
    <w:rsid w:val="004A3A74"/>
    <w:rsid w:val="004C0C94"/>
    <w:rsid w:val="004D1824"/>
    <w:rsid w:val="004D5BD5"/>
    <w:rsid w:val="004E635A"/>
    <w:rsid w:val="005045D6"/>
    <w:rsid w:val="005119B0"/>
    <w:rsid w:val="00514F63"/>
    <w:rsid w:val="00543201"/>
    <w:rsid w:val="0055247B"/>
    <w:rsid w:val="005625D0"/>
    <w:rsid w:val="00591F45"/>
    <w:rsid w:val="005949BA"/>
    <w:rsid w:val="00595E3C"/>
    <w:rsid w:val="005D26CE"/>
    <w:rsid w:val="005D3582"/>
    <w:rsid w:val="00663D2F"/>
    <w:rsid w:val="00684432"/>
    <w:rsid w:val="0069052A"/>
    <w:rsid w:val="0069177A"/>
    <w:rsid w:val="006A4692"/>
    <w:rsid w:val="006C4E57"/>
    <w:rsid w:val="00715B3A"/>
    <w:rsid w:val="007610F4"/>
    <w:rsid w:val="00771C9D"/>
    <w:rsid w:val="00785626"/>
    <w:rsid w:val="007B4FA0"/>
    <w:rsid w:val="00837859"/>
    <w:rsid w:val="0086259C"/>
    <w:rsid w:val="00866FBE"/>
    <w:rsid w:val="00876CCE"/>
    <w:rsid w:val="00881B31"/>
    <w:rsid w:val="008D084E"/>
    <w:rsid w:val="008D4BA1"/>
    <w:rsid w:val="009028F1"/>
    <w:rsid w:val="00947081"/>
    <w:rsid w:val="00960CCC"/>
    <w:rsid w:val="009B4C9F"/>
    <w:rsid w:val="00A4751A"/>
    <w:rsid w:val="00A60E84"/>
    <w:rsid w:val="00A81981"/>
    <w:rsid w:val="00A93F95"/>
    <w:rsid w:val="00AD3E65"/>
    <w:rsid w:val="00AE7B80"/>
    <w:rsid w:val="00B714F5"/>
    <w:rsid w:val="00B835F7"/>
    <w:rsid w:val="00BA0F94"/>
    <w:rsid w:val="00C117E4"/>
    <w:rsid w:val="00C26D9A"/>
    <w:rsid w:val="00C42B2B"/>
    <w:rsid w:val="00C91221"/>
    <w:rsid w:val="00C96551"/>
    <w:rsid w:val="00CC06C5"/>
    <w:rsid w:val="00CC4996"/>
    <w:rsid w:val="00D335B6"/>
    <w:rsid w:val="00E126EF"/>
    <w:rsid w:val="00E17487"/>
    <w:rsid w:val="00E20225"/>
    <w:rsid w:val="00E82063"/>
    <w:rsid w:val="00EE2ECE"/>
    <w:rsid w:val="00F10C01"/>
    <w:rsid w:val="00F360A6"/>
    <w:rsid w:val="00F40DC5"/>
    <w:rsid w:val="00F43EF7"/>
    <w:rsid w:val="00F771D6"/>
    <w:rsid w:val="00FA685D"/>
    <w:rsid w:val="00FB26FB"/>
    <w:rsid w:val="00FC755D"/>
    <w:rsid w:val="45BA6F71"/>
    <w:rsid w:val="47F23A9F"/>
    <w:rsid w:val="48D6720F"/>
    <w:rsid w:val="71D94B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Balloon Text"/>
    <w:basedOn w:val="1"/>
    <w:link w:val="11"/>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日期 Char"/>
    <w:link w:val="2"/>
    <w:uiPriority w:val="0"/>
    <w:rPr>
      <w:rFonts w:eastAsia="仿宋_GB2312"/>
      <w:kern w:val="2"/>
      <w:sz w:val="32"/>
      <w:szCs w:val="24"/>
    </w:rPr>
  </w:style>
  <w:style w:type="character" w:customStyle="1" w:styleId="10">
    <w:name w:val="页脚 Char"/>
    <w:link w:val="4"/>
    <w:uiPriority w:val="99"/>
    <w:rPr>
      <w:rFonts w:eastAsia="仿宋_GB2312"/>
      <w:kern w:val="2"/>
      <w:sz w:val="18"/>
      <w:szCs w:val="18"/>
    </w:rPr>
  </w:style>
  <w:style w:type="character" w:customStyle="1" w:styleId="11">
    <w:name w:val="批注框文本 Char"/>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1231</Words>
  <Characters>7019</Characters>
  <Lines>58</Lines>
  <Paragraphs>16</Paragraphs>
  <TotalTime>2</TotalTime>
  <ScaleCrop>false</ScaleCrop>
  <LinksUpToDate>false</LinksUpToDate>
  <CharactersWithSpaces>8234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2022-04-19T09:04:00Z</dcterms:created>
  <dc:creator>307</dc:creator>
  <cp:lastModifiedBy>apple1</cp:lastModifiedBy>
  <cp:lastPrinted>2020-04-03T02:42:00Z</cp:lastPrinted>
  <dcterms:modified xsi:type="dcterms:W3CDTF">2022-04-19T12:46:41Z</dcterms:modified>
  <dc:title>南县森林公安局2018年度预算绩效自评工作报告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