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left="3047" w:leftChars="1245" w:hanging="433" w:hangingChars="98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南县拘留所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/>
        <w:snapToGrid/>
        <w:spacing w:line="240" w:lineRule="auto"/>
        <w:ind w:left="0" w:leftChars="0" w:firstLine="883" w:firstLineChars="200"/>
        <w:jc w:val="left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44"/>
          <w:szCs w:val="44"/>
        </w:rPr>
        <w:t>20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项目支出绩效评价报告</w:t>
      </w:r>
    </w:p>
    <w:p>
      <w:pPr>
        <w:spacing w:line="560" w:lineRule="exact"/>
        <w:ind w:firstLine="420" w:firstLineChars="200"/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lang w:val="en-US" w:eastAsia="zh-CN"/>
        </w:rPr>
        <w:t xml:space="preserve">         </w:t>
      </w:r>
    </w:p>
    <w:p>
      <w:pPr>
        <w:spacing w:line="560" w:lineRule="exact"/>
        <w:ind w:firstLine="422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一、项目基本情况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（一）项目基本情况简介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2020年主要以办案、信息和监控系统建设等方面来开展项目活动，主要有如下几个项目：办案、信息和监控系统建设</w:t>
      </w:r>
      <w:r>
        <w:rPr>
          <w:rFonts w:hint="eastAsia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绩效目标设定及指标完成情况。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在拘人员进行全方位教育，创造扫黑除恶的良好氛围，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>警示教育，提高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公民</w:t>
      </w:r>
      <w:r>
        <w:rPr>
          <w:rFonts w:hint="eastAsia" w:ascii="仿宋" w:hAnsi="仿宋" w:eastAsia="仿宋" w:cs="仿宋"/>
          <w:sz w:val="32"/>
          <w:szCs w:val="32"/>
        </w:rPr>
        <w:t>的责任意识。深挖犯罪工作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，平安南县摘除毒瘤，对信息和监控系统进行维护，以确保安全。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二、绩效评价工作情况</w:t>
      </w:r>
    </w:p>
    <w:p>
      <w:pPr>
        <w:topLinePunct/>
        <w:autoSpaceDE w:val="0"/>
        <w:spacing w:line="560" w:lineRule="exact"/>
        <w:ind w:firstLine="964" w:firstLineChars="3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（一）绩效评价目的。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严格落实《预算法》及省、市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绩效管理工作的有关规定，进一步规范财政资金的管理，强化财政支出绩效理念，提升部门责任意识，提高资金使用效益。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leftChars="200" w:firstLine="321" w:firstLineChars="1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项目资金</w:t>
      </w:r>
      <w:r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包括公共财政预算资金</w:t>
      </w:r>
      <w:r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政府性基金</w:t>
      </w:r>
      <w:r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财政专户资金</w:t>
      </w:r>
      <w:r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自筹资金等</w:t>
      </w:r>
      <w:r>
        <w:rPr>
          <w:rFonts w:hint="eastAsia" w:ascii="仿宋" w:hAnsi="仿宋" w:eastAsia="仿宋" w:cs="仿宋"/>
          <w:b/>
          <w:bCs/>
          <w:color w:val="000000"/>
          <w:spacing w:val="-2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安排落实、总投入等情况分析，</w:t>
      </w:r>
      <w:r>
        <w:rPr>
          <w:rFonts w:hint="eastAsia" w:ascii="仿宋" w:hAnsi="仿宋" w:eastAsia="仿宋" w:cs="仿宋"/>
          <w:b/>
          <w:bCs/>
          <w:color w:val="000000"/>
          <w:spacing w:val="-6"/>
          <w:sz w:val="32"/>
          <w:szCs w:val="32"/>
        </w:rPr>
        <w:t>项目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资金（主要是指财政资金）实际使用等情况分析。</w:t>
      </w:r>
    </w:p>
    <w:p>
      <w:pPr>
        <w:topLinePunct/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2020年项目资金财政拨入5万元，2020年共投入项目资金10.73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万元，其中使用了上年项目结余资金6.28万元，本年项目资金结余0.55万元。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项目组织情况分析。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根据我单位性质特点，制定了在拘人员管理制度、干警值班制度，事故通报制度等，项目制定多种备选方案，从中选优，并由主要领导亲自负责，做到有依据、有落实、有审核、有督促，使项目的实施得以落实到位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leftChars="200" w:firstLine="321" w:firstLineChars="1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项目管理情况分析。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主要包括项目管理制度、办法的制订、日常检查监督管理等情况。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leftChars="200" w:firstLine="320" w:firstLineChars="1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为保证项目有效推进，制定了项目资金管理制度、在拘人员管理制度、干警值班制度，事故通报制度等，加大办案等项目执行过程中的日常管理和全程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监督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opLinePunct/>
        <w:autoSpaceDE w:val="0"/>
        <w:spacing w:line="560" w:lineRule="exact"/>
        <w:ind w:left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项目绩效情况</w:t>
      </w:r>
    </w:p>
    <w:p>
      <w:pPr>
        <w:topLinePunct/>
        <w:spacing w:line="560" w:lineRule="exact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我所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从项目的经济性、效率性、有效性和可持续性等方面进行量化、具体分析。其中：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资金共收到拨款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5万元 ，投入使用了10.73万元，结余0.55万元，总体来看，项目资金使用效率高，达到了预期效果。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本次评价主人采用比较法，认为项目总体完成情况良好，项目自评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93分，具体分项自评如附表中。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自身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监督管理制度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还有待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健全，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某些方面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执行水平有待进一步提高，预算编制有待更加细化、精准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topLinePunct/>
        <w:autoSpaceDE w:val="0"/>
        <w:spacing w:line="56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五、其他需要说明的问题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无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表</w:t>
      </w:r>
    </w:p>
    <w:p>
      <w:pPr>
        <w:spacing w:line="600" w:lineRule="exact"/>
        <w:ind w:firstLine="88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>2020年项目支出绩效自评指标计分表</w:t>
      </w:r>
    </w:p>
    <w:p>
      <w:pPr>
        <w:spacing w:line="400" w:lineRule="exact"/>
        <w:ind w:firstLine="880"/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（20分）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 （25分）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（2分）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（7分）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截留、挤占、挪用扣3-6分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（6分）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（55分）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（40分）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项目产出能持续运用（4分）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（8分）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 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>
      <w:pPr>
        <w:shd w:val="clear" w:color="auto" w:fill="FFFFFF"/>
        <w:spacing w:line="580" w:lineRule="exact"/>
        <w:ind w:firstLine="64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00F7E"/>
    <w:multiLevelType w:val="singleLevel"/>
    <w:tmpl w:val="E5000F7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5AB4"/>
    <w:rsid w:val="10035AB4"/>
    <w:rsid w:val="42291CF5"/>
    <w:rsid w:val="641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2022-04-24T02:25:00Z</dcterms:created>
  <dc:creator>Administrator</dc:creator>
  <cp:lastModifiedBy>Administrator</cp:lastModifiedBy>
  <dcterms:modified xsi:type="dcterms:W3CDTF">2022-04-25T01:09:11Z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