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ind w:left="3047" w:leftChars="1245" w:hanging="433" w:hangingChars="98"/>
        <w:rPr>
          <w:rFonts w:hint="eastAsia" w:ascii="仿宋" w:hAnsi="仿宋" w:eastAsia="仿宋" w:cs="仿宋"/>
          <w:b/>
          <w:bCs/>
          <w:color w:val="auto"/>
          <w:sz w:val="44"/>
          <w:szCs w:val="44"/>
        </w:rPr>
      </w:pPr>
      <w:r>
        <w:rPr>
          <w:rFonts w:hint="eastAsia" w:ascii="仿宋" w:hAnsi="仿宋" w:eastAsia="仿宋" w:cs="仿宋"/>
          <w:b/>
          <w:bCs/>
          <w:color w:val="auto"/>
          <w:sz w:val="44"/>
          <w:szCs w:val="44"/>
          <w:lang w:eastAsia="zh-CN"/>
        </w:rPr>
        <w:t>南县拘留所</w:t>
      </w:r>
      <w:r>
        <w:rPr>
          <w:rFonts w:hint="eastAsia" w:ascii="仿宋" w:hAnsi="仿宋" w:eastAsia="仿宋" w:cs="仿宋"/>
          <w:b/>
          <w:bCs/>
          <w:color w:val="auto"/>
          <w:sz w:val="44"/>
          <w:szCs w:val="44"/>
        </w:rPr>
        <w:t xml:space="preserve"> </w:t>
      </w:r>
    </w:p>
    <w:p>
      <w:pPr>
        <w:autoSpaceDE w:val="0"/>
        <w:autoSpaceDN w:val="0"/>
        <w:spacing w:line="360" w:lineRule="auto"/>
        <w:ind w:left="3056" w:leftChars="618" w:hanging="1758" w:hangingChars="398"/>
        <w:rPr>
          <w:rStyle w:val="7"/>
          <w:rFonts w:hint="eastAsia" w:ascii="仿宋" w:hAnsi="仿宋" w:eastAsia="仿宋" w:cs="仿宋"/>
          <w:color w:val="auto"/>
          <w:sz w:val="32"/>
          <w:szCs w:val="32"/>
        </w:rPr>
      </w:pPr>
      <w:r>
        <w:rPr>
          <w:rStyle w:val="7"/>
          <w:rFonts w:hint="eastAsia" w:ascii="仿宋" w:hAnsi="仿宋" w:eastAsia="仿宋" w:cs="仿宋"/>
          <w:b/>
          <w:bCs/>
          <w:color w:val="auto"/>
          <w:sz w:val="44"/>
          <w:szCs w:val="44"/>
        </w:rPr>
        <w:t>20</w:t>
      </w:r>
      <w:r>
        <w:rPr>
          <w:rStyle w:val="7"/>
          <w:rFonts w:hint="eastAsia" w:ascii="仿宋" w:hAnsi="仿宋" w:eastAsia="仿宋" w:cs="仿宋"/>
          <w:color w:val="auto"/>
          <w:sz w:val="44"/>
          <w:szCs w:val="44"/>
          <w:lang w:val="en-US" w:eastAsia="zh-CN"/>
        </w:rPr>
        <w:t>20</w:t>
      </w:r>
      <w:r>
        <w:rPr>
          <w:rStyle w:val="7"/>
          <w:rFonts w:hint="eastAsia" w:ascii="仿宋" w:hAnsi="仿宋" w:eastAsia="仿宋" w:cs="仿宋"/>
          <w:color w:val="auto"/>
          <w:sz w:val="44"/>
          <w:szCs w:val="44"/>
        </w:rPr>
        <w:t>年整体支出绩效评价报告</w:t>
      </w:r>
    </w:p>
    <w:p>
      <w:pPr>
        <w:autoSpaceDE w:val="0"/>
        <w:autoSpaceDN w:val="0"/>
        <w:spacing w:line="360" w:lineRule="auto"/>
        <w:ind w:left="420" w:leftChars="200"/>
        <w:rPr>
          <w:rStyle w:val="7"/>
          <w:rFonts w:hint="eastAsia" w:ascii="仿宋" w:hAnsi="仿宋" w:eastAsia="仿宋" w:cs="仿宋"/>
          <w:color w:val="000000"/>
          <w:sz w:val="30"/>
          <w:szCs w:val="30"/>
        </w:rPr>
      </w:pPr>
    </w:p>
    <w:p>
      <w:pPr>
        <w:topLinePunct/>
        <w:spacing w:line="56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一、基本情况</w:t>
      </w:r>
    </w:p>
    <w:p>
      <w:pPr>
        <w:widowControl/>
        <w:shd w:val="clear" w:color="auto" w:fill="FFFFFF"/>
        <w:spacing w:before="150"/>
        <w:ind w:firstLine="6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（一）部门整体支出概况。</w:t>
      </w:r>
    </w:p>
    <w:p>
      <w:pPr>
        <w:widowControl/>
        <w:shd w:val="clear" w:color="auto" w:fill="FFFFFF"/>
        <w:spacing w:before="150"/>
        <w:ind w:firstLine="600"/>
        <w:jc w:val="left"/>
        <w:rPr>
          <w:rFonts w:hint="eastAsia" w:ascii="仿宋" w:hAnsi="仿宋" w:eastAsia="仿宋" w:cs="仿宋"/>
          <w:color w:val="000000"/>
          <w:szCs w:val="21"/>
        </w:rPr>
      </w:pPr>
      <w:r>
        <w:rPr>
          <w:rFonts w:hint="eastAsia" w:ascii="仿宋" w:hAnsi="仿宋" w:eastAsia="仿宋" w:cs="仿宋"/>
          <w:color w:val="000000"/>
          <w:kern w:val="0"/>
          <w:sz w:val="30"/>
          <w:szCs w:val="30"/>
          <w:shd w:val="clear" w:color="auto" w:fill="FFFFFF"/>
          <w:lang w:val="en-US" w:eastAsia="zh-CN" w:bidi="ar"/>
        </w:rPr>
        <w:t>1、</w:t>
      </w:r>
      <w:r>
        <w:rPr>
          <w:rFonts w:hint="eastAsia" w:ascii="仿宋" w:hAnsi="仿宋" w:eastAsia="仿宋" w:cs="仿宋"/>
          <w:color w:val="000000"/>
          <w:kern w:val="0"/>
          <w:sz w:val="30"/>
          <w:szCs w:val="30"/>
          <w:shd w:val="clear" w:color="auto" w:fill="FFFFFF"/>
          <w:lang w:bidi="ar"/>
        </w:rPr>
        <w:t>总收入合计</w:t>
      </w:r>
      <w:r>
        <w:rPr>
          <w:rFonts w:hint="eastAsia" w:ascii="仿宋" w:hAnsi="仿宋" w:eastAsia="仿宋" w:cs="仿宋"/>
          <w:color w:val="000000"/>
          <w:kern w:val="0"/>
          <w:sz w:val="30"/>
          <w:szCs w:val="30"/>
          <w:shd w:val="clear" w:color="auto" w:fill="FFFFFF"/>
          <w:lang w:val="en-US" w:eastAsia="zh-CN" w:bidi="ar"/>
        </w:rPr>
        <w:t>159.8</w:t>
      </w:r>
      <w:r>
        <w:rPr>
          <w:rFonts w:hint="eastAsia" w:ascii="仿宋" w:hAnsi="仿宋" w:eastAsia="仿宋" w:cs="仿宋"/>
          <w:color w:val="000000"/>
          <w:kern w:val="0"/>
          <w:sz w:val="30"/>
          <w:szCs w:val="30"/>
          <w:shd w:val="clear" w:color="auto" w:fill="FFFFFF"/>
          <w:lang w:bidi="ar"/>
        </w:rPr>
        <w:t>万元，其中：财政拨款收入</w:t>
      </w:r>
      <w:r>
        <w:rPr>
          <w:rFonts w:hint="eastAsia" w:ascii="仿宋" w:hAnsi="仿宋" w:eastAsia="仿宋" w:cs="仿宋"/>
          <w:color w:val="000000"/>
          <w:kern w:val="0"/>
          <w:sz w:val="30"/>
          <w:szCs w:val="30"/>
          <w:shd w:val="clear" w:color="auto" w:fill="FFFFFF"/>
          <w:lang w:val="en-US" w:eastAsia="zh-CN" w:bidi="ar"/>
        </w:rPr>
        <w:t>159.8</w:t>
      </w:r>
      <w:r>
        <w:rPr>
          <w:rFonts w:hint="eastAsia" w:ascii="仿宋" w:hAnsi="仿宋" w:eastAsia="仿宋" w:cs="仿宋"/>
          <w:color w:val="000000"/>
          <w:kern w:val="0"/>
          <w:sz w:val="30"/>
          <w:szCs w:val="30"/>
          <w:shd w:val="clear" w:color="auto" w:fill="FFFFFF"/>
          <w:lang w:bidi="ar"/>
        </w:rPr>
        <w:t>万元，占</w:t>
      </w:r>
      <w:r>
        <w:rPr>
          <w:rFonts w:hint="eastAsia" w:ascii="仿宋" w:hAnsi="仿宋" w:eastAsia="仿宋" w:cs="仿宋"/>
          <w:color w:val="000000"/>
          <w:kern w:val="0"/>
          <w:sz w:val="30"/>
          <w:szCs w:val="30"/>
          <w:shd w:val="clear" w:color="auto" w:fill="FFFFFF"/>
          <w:lang w:val="en-US" w:eastAsia="zh-CN" w:bidi="ar"/>
        </w:rPr>
        <w:t>100</w:t>
      </w:r>
      <w:r>
        <w:rPr>
          <w:rFonts w:hint="eastAsia" w:ascii="仿宋" w:hAnsi="仿宋" w:eastAsia="仿宋" w:cs="仿宋"/>
          <w:color w:val="000000"/>
          <w:kern w:val="0"/>
          <w:sz w:val="30"/>
          <w:szCs w:val="30"/>
          <w:shd w:val="clear" w:color="auto" w:fill="FFFFFF"/>
          <w:lang w:bidi="ar"/>
        </w:rPr>
        <w:t>%。</w:t>
      </w:r>
    </w:p>
    <w:p>
      <w:pPr>
        <w:widowControl/>
        <w:shd w:val="clear" w:color="auto" w:fill="FFFFFF"/>
        <w:spacing w:before="150"/>
        <w:ind w:firstLine="600"/>
        <w:jc w:val="left"/>
        <w:rPr>
          <w:rFonts w:hint="eastAsia" w:ascii="仿宋" w:hAnsi="仿宋" w:eastAsia="仿宋" w:cs="仿宋"/>
          <w:color w:val="000000"/>
          <w:kern w:val="0"/>
          <w:sz w:val="30"/>
          <w:szCs w:val="30"/>
          <w:shd w:val="clear" w:color="auto" w:fill="FFFFFF"/>
          <w:lang w:bidi="ar"/>
        </w:rPr>
      </w:pP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总支出合计</w:t>
      </w:r>
      <w:r>
        <w:rPr>
          <w:rFonts w:hint="eastAsia" w:ascii="仿宋" w:hAnsi="仿宋" w:eastAsia="仿宋" w:cs="仿宋"/>
          <w:color w:val="000000"/>
          <w:kern w:val="0"/>
          <w:sz w:val="30"/>
          <w:szCs w:val="30"/>
          <w:shd w:val="clear" w:color="auto" w:fill="FFFFFF"/>
          <w:lang w:val="en-US" w:eastAsia="zh-CN" w:bidi="ar"/>
        </w:rPr>
        <w:t>167.23</w:t>
      </w:r>
      <w:r>
        <w:rPr>
          <w:rFonts w:hint="eastAsia" w:ascii="仿宋" w:hAnsi="仿宋" w:eastAsia="仿宋" w:cs="仿宋"/>
          <w:color w:val="000000"/>
          <w:kern w:val="0"/>
          <w:sz w:val="30"/>
          <w:szCs w:val="30"/>
          <w:shd w:val="clear" w:color="auto" w:fill="FFFFFF"/>
          <w:lang w:bidi="ar"/>
        </w:rPr>
        <w:t>万元，其中：基本支出</w:t>
      </w:r>
      <w:r>
        <w:rPr>
          <w:rFonts w:hint="eastAsia" w:ascii="仿宋" w:hAnsi="仿宋" w:eastAsia="仿宋" w:cs="仿宋"/>
          <w:color w:val="000000"/>
          <w:kern w:val="0"/>
          <w:sz w:val="30"/>
          <w:szCs w:val="30"/>
          <w:shd w:val="clear" w:color="auto" w:fill="FFFFFF"/>
          <w:lang w:val="en-US" w:eastAsia="zh-CN" w:bidi="ar"/>
        </w:rPr>
        <w:t>156.5</w:t>
      </w:r>
      <w:r>
        <w:rPr>
          <w:rFonts w:hint="eastAsia" w:ascii="仿宋" w:hAnsi="仿宋" w:eastAsia="仿宋" w:cs="仿宋"/>
          <w:color w:val="000000"/>
          <w:kern w:val="0"/>
          <w:sz w:val="30"/>
          <w:szCs w:val="30"/>
          <w:shd w:val="clear" w:color="auto" w:fill="FFFFFF"/>
          <w:lang w:bidi="ar"/>
        </w:rPr>
        <w:t>万元，占</w:t>
      </w:r>
      <w:r>
        <w:rPr>
          <w:rFonts w:hint="eastAsia" w:ascii="仿宋" w:hAnsi="仿宋" w:eastAsia="仿宋" w:cs="仿宋"/>
          <w:color w:val="000000"/>
          <w:kern w:val="0"/>
          <w:sz w:val="30"/>
          <w:szCs w:val="30"/>
          <w:shd w:val="clear" w:color="auto" w:fill="FFFFFF"/>
          <w:lang w:val="en-US" w:eastAsia="zh-CN" w:bidi="ar"/>
        </w:rPr>
        <w:t>93.58</w:t>
      </w:r>
      <w:r>
        <w:rPr>
          <w:rFonts w:hint="eastAsia" w:ascii="仿宋" w:hAnsi="仿宋" w:eastAsia="仿宋" w:cs="仿宋"/>
          <w:color w:val="000000"/>
          <w:kern w:val="0"/>
          <w:sz w:val="30"/>
          <w:szCs w:val="30"/>
          <w:shd w:val="clear" w:color="auto" w:fill="FFFFFF"/>
          <w:lang w:bidi="ar"/>
        </w:rPr>
        <w:t>%</w:t>
      </w:r>
      <w:r>
        <w:rPr>
          <w:rFonts w:hint="eastAsia" w:ascii="仿宋" w:hAnsi="仿宋" w:eastAsia="仿宋" w:cs="仿宋"/>
          <w:color w:val="000000"/>
          <w:kern w:val="0"/>
          <w:sz w:val="30"/>
          <w:szCs w:val="30"/>
          <w:shd w:val="clear" w:color="auto" w:fill="FFFFFF"/>
          <w:lang w:eastAsia="zh-CN" w:bidi="ar"/>
        </w:rPr>
        <w:t>，项目支出</w:t>
      </w:r>
      <w:r>
        <w:rPr>
          <w:rFonts w:hint="eastAsia" w:ascii="仿宋" w:hAnsi="仿宋" w:eastAsia="仿宋" w:cs="仿宋"/>
          <w:color w:val="000000"/>
          <w:kern w:val="0"/>
          <w:sz w:val="30"/>
          <w:szCs w:val="30"/>
          <w:shd w:val="clear" w:color="auto" w:fill="FFFFFF"/>
          <w:lang w:val="en-US" w:eastAsia="zh-CN" w:bidi="ar"/>
        </w:rPr>
        <w:t>10.73</w:t>
      </w:r>
      <w:bookmarkStart w:id="0" w:name="_GoBack"/>
      <w:bookmarkEnd w:id="0"/>
      <w:r>
        <w:rPr>
          <w:rFonts w:hint="eastAsia" w:ascii="仿宋" w:hAnsi="仿宋" w:eastAsia="仿宋" w:cs="仿宋"/>
          <w:color w:val="000000"/>
          <w:kern w:val="0"/>
          <w:sz w:val="30"/>
          <w:szCs w:val="30"/>
          <w:shd w:val="clear" w:color="auto" w:fill="FFFFFF"/>
          <w:lang w:val="en-US" w:eastAsia="zh-CN" w:bidi="ar"/>
        </w:rPr>
        <w:t>万元，占6.42%</w:t>
      </w:r>
      <w:r>
        <w:rPr>
          <w:rFonts w:hint="eastAsia" w:ascii="仿宋" w:hAnsi="仿宋" w:eastAsia="仿宋" w:cs="仿宋"/>
          <w:color w:val="000000"/>
          <w:kern w:val="0"/>
          <w:sz w:val="30"/>
          <w:szCs w:val="30"/>
          <w:shd w:val="clear" w:color="auto" w:fill="FFFFFF"/>
          <w:lang w:bidi="ar"/>
        </w:rPr>
        <w:t>。</w:t>
      </w:r>
    </w:p>
    <w:p>
      <w:pPr>
        <w:widowControl/>
        <w:shd w:val="clear" w:color="auto" w:fill="FFFFFF"/>
        <w:spacing w:before="150"/>
        <w:ind w:firstLine="600"/>
        <w:jc w:val="left"/>
        <w:rPr>
          <w:rFonts w:hint="eastAsia" w:ascii="仿宋" w:hAnsi="仿宋" w:eastAsia="仿宋" w:cs="仿宋"/>
          <w:color w:val="000000"/>
          <w:kern w:val="0"/>
          <w:sz w:val="30"/>
          <w:szCs w:val="30"/>
          <w:shd w:val="clear" w:color="auto" w:fill="FFFFFF"/>
          <w:lang w:bidi="ar"/>
        </w:rPr>
      </w:pPr>
      <w:r>
        <w:rPr>
          <w:rFonts w:hint="eastAsia" w:ascii="仿宋" w:hAnsi="仿宋" w:eastAsia="仿宋" w:cs="仿宋"/>
          <w:color w:val="000000"/>
          <w:kern w:val="0"/>
          <w:sz w:val="30"/>
          <w:szCs w:val="30"/>
          <w:shd w:val="clear" w:color="auto" w:fill="FFFFFF"/>
          <w:lang w:val="en-US" w:eastAsia="zh-CN" w:bidi="ar"/>
        </w:rPr>
        <w:t>3、</w:t>
      </w:r>
      <w:r>
        <w:rPr>
          <w:rFonts w:hint="eastAsia" w:ascii="仿宋" w:hAnsi="仿宋" w:eastAsia="仿宋" w:cs="仿宋"/>
          <w:color w:val="000000"/>
          <w:kern w:val="0"/>
          <w:sz w:val="30"/>
          <w:szCs w:val="30"/>
          <w:shd w:val="clear" w:color="auto" w:fill="FFFFFF"/>
          <w:lang w:bidi="ar"/>
        </w:rPr>
        <w:t>财政拨款收入</w:t>
      </w:r>
      <w:r>
        <w:rPr>
          <w:rFonts w:hint="eastAsia" w:ascii="仿宋" w:hAnsi="仿宋" w:eastAsia="仿宋" w:cs="仿宋"/>
          <w:color w:val="000000"/>
          <w:kern w:val="0"/>
          <w:sz w:val="30"/>
          <w:szCs w:val="30"/>
          <w:shd w:val="clear" w:color="auto" w:fill="FFFFFF"/>
          <w:lang w:eastAsia="zh-CN" w:bidi="ar"/>
        </w:rPr>
        <w:t>合</w:t>
      </w:r>
      <w:r>
        <w:rPr>
          <w:rFonts w:hint="eastAsia" w:ascii="仿宋" w:hAnsi="仿宋" w:eastAsia="仿宋" w:cs="仿宋"/>
          <w:color w:val="000000"/>
          <w:kern w:val="0"/>
          <w:sz w:val="30"/>
          <w:szCs w:val="30"/>
          <w:shd w:val="clear" w:color="auto" w:fill="FFFFFF"/>
          <w:lang w:bidi="ar"/>
        </w:rPr>
        <w:t>计</w:t>
      </w:r>
      <w:r>
        <w:rPr>
          <w:rFonts w:hint="eastAsia" w:ascii="仿宋" w:hAnsi="仿宋" w:eastAsia="仿宋" w:cs="仿宋"/>
          <w:color w:val="000000"/>
          <w:kern w:val="0"/>
          <w:sz w:val="30"/>
          <w:szCs w:val="30"/>
          <w:shd w:val="clear" w:color="auto" w:fill="FFFFFF"/>
          <w:lang w:val="en-US" w:eastAsia="zh-CN" w:bidi="ar"/>
        </w:rPr>
        <w:t>159.8</w:t>
      </w:r>
      <w:r>
        <w:rPr>
          <w:rFonts w:hint="eastAsia" w:ascii="仿宋" w:hAnsi="仿宋" w:eastAsia="仿宋" w:cs="仿宋"/>
          <w:color w:val="000000"/>
          <w:kern w:val="0"/>
          <w:sz w:val="30"/>
          <w:szCs w:val="30"/>
          <w:shd w:val="clear" w:color="auto" w:fill="FFFFFF"/>
          <w:lang w:bidi="ar"/>
        </w:rPr>
        <w:t>万元，比上年</w:t>
      </w:r>
      <w:r>
        <w:rPr>
          <w:rFonts w:hint="eastAsia" w:ascii="仿宋" w:hAnsi="仿宋" w:eastAsia="仿宋" w:cs="仿宋"/>
          <w:color w:val="000000"/>
          <w:kern w:val="0"/>
          <w:sz w:val="30"/>
          <w:szCs w:val="30"/>
          <w:shd w:val="clear" w:color="auto" w:fill="FFFFFF"/>
          <w:lang w:eastAsia="zh-CN" w:bidi="ar"/>
        </w:rPr>
        <w:t>增加</w:t>
      </w:r>
      <w:r>
        <w:rPr>
          <w:rFonts w:hint="eastAsia" w:ascii="仿宋" w:hAnsi="仿宋" w:eastAsia="仿宋" w:cs="仿宋"/>
          <w:color w:val="000000"/>
          <w:kern w:val="0"/>
          <w:sz w:val="30"/>
          <w:szCs w:val="30"/>
          <w:shd w:val="clear" w:color="auto" w:fill="FFFFFF"/>
          <w:lang w:val="en-US" w:eastAsia="zh-CN" w:bidi="ar"/>
        </w:rPr>
        <w:t>15.68</w:t>
      </w:r>
      <w:r>
        <w:rPr>
          <w:rFonts w:hint="eastAsia" w:ascii="仿宋" w:hAnsi="仿宋" w:eastAsia="仿宋" w:cs="仿宋"/>
          <w:color w:val="000000"/>
          <w:kern w:val="0"/>
          <w:sz w:val="30"/>
          <w:szCs w:val="30"/>
          <w:shd w:val="clear" w:color="auto" w:fill="FFFFFF"/>
          <w:lang w:bidi="ar"/>
        </w:rPr>
        <w:t>万元，主要原因是</w:t>
      </w:r>
      <w:r>
        <w:rPr>
          <w:rFonts w:hint="eastAsia" w:ascii="仿宋" w:hAnsi="仿宋" w:eastAsia="仿宋" w:cs="仿宋"/>
          <w:color w:val="000000"/>
          <w:kern w:val="0"/>
          <w:sz w:val="30"/>
          <w:szCs w:val="30"/>
          <w:shd w:val="clear" w:color="auto" w:fill="FFFFFF"/>
          <w:lang w:val="en-US" w:eastAsia="zh-CN" w:bidi="ar"/>
        </w:rPr>
        <w:t>工资、津贴提标</w:t>
      </w:r>
      <w:r>
        <w:rPr>
          <w:rFonts w:hint="eastAsia" w:ascii="仿宋" w:hAnsi="仿宋" w:eastAsia="仿宋" w:cs="仿宋"/>
          <w:color w:val="000000"/>
          <w:kern w:val="0"/>
          <w:sz w:val="30"/>
          <w:szCs w:val="30"/>
          <w:shd w:val="clear" w:color="auto" w:fill="FFFFFF"/>
          <w:lang w:bidi="ar"/>
        </w:rPr>
        <w:t>。</w:t>
      </w:r>
    </w:p>
    <w:p>
      <w:pPr>
        <w:topLinePunct/>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（二）部门整体支出绩效目标。上级主管部门绩效考核的个性指标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预决算</w:t>
      </w:r>
      <w:r>
        <w:rPr>
          <w:rFonts w:hint="eastAsia" w:ascii="仿宋" w:hAnsi="仿宋" w:eastAsia="仿宋" w:cs="仿宋"/>
          <w:color w:val="000000"/>
          <w:sz w:val="32"/>
          <w:szCs w:val="32"/>
          <w:lang w:eastAsia="zh-CN"/>
        </w:rPr>
        <w:t>按县财政要求如期公开；</w:t>
      </w:r>
      <w:r>
        <w:rPr>
          <w:rFonts w:hint="eastAsia" w:ascii="仿宋" w:hAnsi="仿宋" w:eastAsia="仿宋" w:cs="仿宋"/>
          <w:color w:val="000000"/>
          <w:sz w:val="32"/>
          <w:szCs w:val="32"/>
          <w:lang w:val="en-US" w:eastAsia="zh-CN"/>
        </w:rPr>
        <w:t>资金管理合理合规；</w:t>
      </w:r>
      <w:r>
        <w:rPr>
          <w:rFonts w:hint="eastAsia" w:ascii="仿宋" w:hAnsi="仿宋" w:eastAsia="仿宋" w:cs="仿宋"/>
          <w:color w:val="000000"/>
          <w:sz w:val="32"/>
          <w:szCs w:val="32"/>
        </w:rPr>
        <w:t>资产管理</w:t>
      </w:r>
      <w:r>
        <w:rPr>
          <w:rFonts w:hint="eastAsia" w:ascii="仿宋" w:hAnsi="仿宋" w:eastAsia="仿宋" w:cs="仿宋"/>
          <w:color w:val="000000"/>
          <w:sz w:val="32"/>
          <w:szCs w:val="32"/>
          <w:lang w:eastAsia="zh-CN"/>
        </w:rPr>
        <w:t>方面一直按政策及时登记、及时清理、责任到人；严格</w:t>
      </w: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eastAsia="zh-CN"/>
        </w:rPr>
        <w:t>管控，节约日常公用开支；</w:t>
      </w:r>
      <w:r>
        <w:rPr>
          <w:rFonts w:hint="eastAsia" w:ascii="仿宋" w:hAnsi="仿宋" w:eastAsia="仿宋" w:cs="仿宋"/>
          <w:color w:val="000000"/>
          <w:sz w:val="32"/>
          <w:szCs w:val="32"/>
        </w:rPr>
        <w:t>内部管理制度</w:t>
      </w:r>
      <w:r>
        <w:rPr>
          <w:rFonts w:hint="eastAsia" w:ascii="仿宋" w:hAnsi="仿宋" w:eastAsia="仿宋" w:cs="仿宋"/>
          <w:color w:val="000000"/>
          <w:sz w:val="32"/>
          <w:szCs w:val="32"/>
          <w:lang w:eastAsia="zh-CN"/>
        </w:rPr>
        <w:t>制定及时、完善；</w:t>
      </w:r>
      <w:r>
        <w:rPr>
          <w:rFonts w:hint="eastAsia" w:ascii="仿宋" w:hAnsi="仿宋" w:eastAsia="仿宋" w:cs="仿宋"/>
          <w:color w:val="000000"/>
          <w:sz w:val="32"/>
          <w:szCs w:val="32"/>
        </w:rPr>
        <w:t>项目绩效总目标和阶段性目标完成情况及预期经济、社会效益等</w:t>
      </w:r>
      <w:r>
        <w:rPr>
          <w:rFonts w:hint="eastAsia" w:ascii="仿宋" w:hAnsi="仿宋" w:eastAsia="仿宋" w:cs="仿宋"/>
          <w:color w:val="000000"/>
          <w:sz w:val="32"/>
          <w:szCs w:val="32"/>
          <w:lang w:eastAsia="zh-CN"/>
        </w:rPr>
        <w:t>如附表，本次评价主人采用比较法，认为整体绩效完成情况良好，整体绩效自评</w:t>
      </w:r>
      <w:r>
        <w:rPr>
          <w:rFonts w:hint="eastAsia" w:ascii="仿宋" w:hAnsi="仿宋" w:eastAsia="仿宋" w:cs="仿宋"/>
          <w:color w:val="000000"/>
          <w:sz w:val="32"/>
          <w:szCs w:val="32"/>
          <w:lang w:val="en-US" w:eastAsia="zh-CN"/>
        </w:rPr>
        <w:t>92分。</w:t>
      </w:r>
    </w:p>
    <w:p>
      <w:pPr>
        <w:topLinePunct/>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（三）部门整体支出或项目实施情况分析。</w:t>
      </w:r>
      <w:r>
        <w:rPr>
          <w:rFonts w:hint="eastAsia" w:ascii="仿宋" w:hAnsi="仿宋" w:eastAsia="仿宋" w:cs="仿宋"/>
          <w:color w:val="000000"/>
          <w:sz w:val="32"/>
          <w:szCs w:val="32"/>
          <w:lang w:val="en-US" w:eastAsia="zh-CN"/>
        </w:rPr>
        <w:t>2020年</w:t>
      </w:r>
      <w:r>
        <w:rPr>
          <w:rFonts w:hint="eastAsia" w:ascii="仿宋" w:hAnsi="仿宋" w:eastAsia="仿宋" w:cs="仿宋"/>
          <w:color w:val="000000"/>
          <w:sz w:val="32"/>
          <w:szCs w:val="32"/>
        </w:rPr>
        <w:t>资金到位</w:t>
      </w:r>
      <w:r>
        <w:rPr>
          <w:rFonts w:hint="eastAsia" w:ascii="仿宋" w:hAnsi="仿宋" w:eastAsia="仿宋" w:cs="仿宋"/>
          <w:color w:val="000000"/>
          <w:sz w:val="32"/>
          <w:szCs w:val="32"/>
          <w:lang w:val="en-US" w:eastAsia="zh-CN"/>
        </w:rPr>
        <w:t>190.14万元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资金使用</w:t>
      </w:r>
      <w:r>
        <w:rPr>
          <w:rFonts w:hint="eastAsia" w:ascii="仿宋" w:hAnsi="仿宋" w:eastAsia="仿宋" w:cs="仿宋"/>
          <w:color w:val="000000"/>
          <w:sz w:val="32"/>
          <w:szCs w:val="32"/>
          <w:lang w:eastAsia="zh-CN"/>
        </w:rPr>
        <w:t>支付了</w:t>
      </w:r>
      <w:r>
        <w:rPr>
          <w:rFonts w:hint="eastAsia" w:ascii="仿宋" w:hAnsi="仿宋" w:eastAsia="仿宋" w:cs="仿宋"/>
          <w:color w:val="000000"/>
          <w:sz w:val="32"/>
          <w:szCs w:val="32"/>
          <w:lang w:val="en-US" w:eastAsia="zh-CN"/>
        </w:rPr>
        <w:t>167.23万元，其中使用上年存量资金2.42万元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资金管理</w:t>
      </w:r>
      <w:r>
        <w:rPr>
          <w:rFonts w:hint="eastAsia" w:ascii="仿宋" w:hAnsi="仿宋" w:eastAsia="仿宋" w:cs="仿宋"/>
          <w:color w:val="000000"/>
          <w:sz w:val="32"/>
          <w:szCs w:val="32"/>
          <w:lang w:eastAsia="zh-CN"/>
        </w:rPr>
        <w:t>严格按财经纪律执行；</w:t>
      </w:r>
      <w:r>
        <w:rPr>
          <w:rFonts w:hint="eastAsia" w:ascii="仿宋" w:hAnsi="仿宋" w:eastAsia="仿宋" w:cs="仿宋"/>
          <w:color w:val="000000"/>
          <w:sz w:val="32"/>
          <w:szCs w:val="32"/>
        </w:rPr>
        <w:t>项目组织和项目管理</w:t>
      </w:r>
      <w:r>
        <w:rPr>
          <w:rFonts w:hint="eastAsia" w:ascii="仿宋" w:hAnsi="仿宋" w:eastAsia="仿宋" w:cs="仿宋"/>
          <w:color w:val="000000"/>
          <w:sz w:val="32"/>
          <w:szCs w:val="32"/>
          <w:lang w:eastAsia="zh-CN"/>
        </w:rPr>
        <w:t>都按年初预算及制定的计划按步进行整体执行到位，资金管理到位，社会满意度高，整体评价</w:t>
      </w:r>
      <w:r>
        <w:rPr>
          <w:rFonts w:hint="eastAsia" w:ascii="仿宋" w:hAnsi="仿宋" w:eastAsia="仿宋" w:cs="仿宋"/>
          <w:color w:val="000000"/>
          <w:sz w:val="32"/>
          <w:szCs w:val="32"/>
          <w:lang w:val="en-US" w:eastAsia="zh-CN"/>
        </w:rPr>
        <w:t>94分，具体自评如附表中</w:t>
      </w:r>
      <w:r>
        <w:rPr>
          <w:rFonts w:hint="eastAsia" w:ascii="仿宋" w:hAnsi="仿宋" w:eastAsia="仿宋" w:cs="仿宋"/>
          <w:color w:val="000000"/>
          <w:sz w:val="32"/>
          <w:szCs w:val="32"/>
        </w:rPr>
        <w:t>。</w:t>
      </w:r>
    </w:p>
    <w:p>
      <w:pPr>
        <w:topLinePunct/>
        <w:autoSpaceDE w:val="0"/>
        <w:spacing w:line="560" w:lineRule="exact"/>
        <w:ind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（一）绩效评价目的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严格落实《预算法》及省、市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绩效管理工作的有关规定，进一步规范财政资金的管理，强化财政支出绩效理念，提升部门责任意识，提高资金使用效益。</w:t>
      </w:r>
    </w:p>
    <w:p>
      <w:pPr>
        <w:topLinePunct/>
        <w:autoSpaceDE w:val="0"/>
        <w:spacing w:line="56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（二）绩效评价工作过程。前期准备</w:t>
      </w:r>
      <w:r>
        <w:rPr>
          <w:rFonts w:hint="eastAsia" w:ascii="仿宋" w:hAnsi="仿宋" w:eastAsia="仿宋" w:cs="仿宋"/>
          <w:color w:val="000000"/>
          <w:sz w:val="32"/>
          <w:szCs w:val="32"/>
          <w:lang w:eastAsia="zh-CN"/>
        </w:rPr>
        <w:t>工作有序进行</w:t>
      </w:r>
      <w:r>
        <w:rPr>
          <w:rFonts w:hint="eastAsia" w:ascii="仿宋" w:hAnsi="仿宋" w:eastAsia="仿宋" w:cs="仿宋"/>
          <w:color w:val="000000"/>
          <w:sz w:val="32"/>
          <w:szCs w:val="32"/>
        </w:rPr>
        <w:t>、组织实施和分析评价</w:t>
      </w:r>
      <w:r>
        <w:rPr>
          <w:rFonts w:hint="eastAsia" w:ascii="仿宋" w:hAnsi="仿宋" w:eastAsia="仿宋" w:cs="仿宋"/>
          <w:color w:val="000000"/>
          <w:sz w:val="32"/>
          <w:szCs w:val="32"/>
          <w:lang w:eastAsia="zh-CN"/>
        </w:rPr>
        <w:t>按步进行</w:t>
      </w:r>
      <w:r>
        <w:rPr>
          <w:rFonts w:hint="eastAsia" w:ascii="仿宋" w:hAnsi="仿宋" w:eastAsia="仿宋" w:cs="仿宋"/>
          <w:color w:val="000000"/>
          <w:sz w:val="32"/>
          <w:szCs w:val="32"/>
        </w:rPr>
        <w:t>。</w:t>
      </w:r>
    </w:p>
    <w:p>
      <w:pPr>
        <w:topLinePunct/>
        <w:autoSpaceDE w:val="0"/>
        <w:spacing w:line="560" w:lineRule="exact"/>
        <w:ind w:firstLine="643" w:firstLineChars="200"/>
        <w:jc w:val="left"/>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三、主要绩效及评价结论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color w:val="000000"/>
          <w:sz w:val="32"/>
          <w:szCs w:val="32"/>
        </w:rPr>
        <w:t>（一）经济性分析。</w:t>
      </w:r>
      <w:r>
        <w:rPr>
          <w:rFonts w:hint="eastAsia" w:ascii="仿宋" w:hAnsi="仿宋" w:eastAsia="仿宋" w:cs="仿宋"/>
          <w:sz w:val="32"/>
          <w:szCs w:val="32"/>
          <w:lang w:eastAsia="zh-CN"/>
        </w:rPr>
        <w:t>创造平安南县，为招商引资创造好的营商环境，为南县经济发展创造了良好的经济效益。</w:t>
      </w:r>
    </w:p>
    <w:p>
      <w:pPr>
        <w:topLinePunct/>
        <w:autoSpaceDE w:val="0"/>
        <w:spacing w:line="56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（二）效率性分析。</w:t>
      </w:r>
      <w:r>
        <w:rPr>
          <w:rFonts w:hint="eastAsia" w:ascii="仿宋" w:hAnsi="仿宋" w:eastAsia="仿宋" w:cs="仿宋"/>
          <w:color w:val="000000"/>
          <w:sz w:val="32"/>
          <w:szCs w:val="32"/>
          <w:lang w:eastAsia="zh-CN"/>
        </w:rPr>
        <w:t>按预算如期</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完成本年度支出计划，三公经费控制率</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完成上级下达其他的各项任务</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（三）效益性分析。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rPr>
        <w:t>共</w:t>
      </w:r>
      <w:r>
        <w:rPr>
          <w:rFonts w:hint="eastAsia" w:ascii="仿宋" w:hAnsi="仿宋" w:eastAsia="仿宋" w:cs="仿宋"/>
          <w:sz w:val="32"/>
          <w:szCs w:val="32"/>
          <w:lang w:val="en-US" w:eastAsia="zh-CN"/>
        </w:rPr>
        <w:t>收拘</w:t>
      </w:r>
      <w:r>
        <w:rPr>
          <w:rFonts w:hint="eastAsia" w:ascii="仿宋" w:hAnsi="仿宋" w:eastAsia="仿宋" w:cs="仿宋"/>
          <w:sz w:val="32"/>
          <w:szCs w:val="32"/>
        </w:rPr>
        <w:t xml:space="preserve">拘留对象 </w:t>
      </w:r>
      <w:r>
        <w:rPr>
          <w:rFonts w:hint="eastAsia" w:ascii="仿宋" w:hAnsi="仿宋" w:eastAsia="仿宋" w:cs="仿宋"/>
          <w:sz w:val="32"/>
          <w:szCs w:val="32"/>
          <w:lang w:val="en-US" w:eastAsia="zh-CN"/>
        </w:rPr>
        <w:t>271</w:t>
      </w:r>
      <w:r>
        <w:rPr>
          <w:rFonts w:hint="eastAsia" w:ascii="仿宋" w:hAnsi="仿宋" w:eastAsia="仿宋" w:cs="仿宋"/>
          <w:sz w:val="32"/>
          <w:szCs w:val="32"/>
        </w:rPr>
        <w:t>人，其中行政拘留对象</w:t>
      </w:r>
      <w:r>
        <w:rPr>
          <w:rFonts w:hint="eastAsia" w:ascii="仿宋" w:hAnsi="仿宋" w:eastAsia="仿宋" w:cs="仿宋"/>
          <w:sz w:val="32"/>
          <w:szCs w:val="32"/>
          <w:lang w:val="en-US" w:eastAsia="zh-CN"/>
        </w:rPr>
        <w:t>234</w:t>
      </w:r>
      <w:r>
        <w:rPr>
          <w:rFonts w:hint="eastAsia" w:ascii="仿宋" w:hAnsi="仿宋" w:eastAsia="仿宋" w:cs="仿宋"/>
          <w:sz w:val="32"/>
          <w:szCs w:val="32"/>
        </w:rPr>
        <w:t>人，司法拘留对象</w:t>
      </w:r>
      <w:r>
        <w:rPr>
          <w:rFonts w:hint="eastAsia" w:ascii="仿宋" w:hAnsi="仿宋" w:eastAsia="仿宋" w:cs="仿宋"/>
          <w:sz w:val="32"/>
          <w:szCs w:val="32"/>
          <w:lang w:val="en-US" w:eastAsia="zh-CN"/>
        </w:rPr>
        <w:t>37</w:t>
      </w:r>
      <w:r>
        <w:rPr>
          <w:rFonts w:hint="eastAsia" w:ascii="仿宋" w:hAnsi="仿宋" w:eastAsia="仿宋" w:cs="仿宋"/>
          <w:sz w:val="32"/>
          <w:szCs w:val="32"/>
        </w:rPr>
        <w:t>人。在执行拘留对象</w:t>
      </w:r>
      <w:r>
        <w:rPr>
          <w:rFonts w:hint="eastAsia" w:ascii="仿宋" w:hAnsi="仿宋" w:eastAsia="仿宋" w:cs="仿宋"/>
          <w:sz w:val="32"/>
          <w:szCs w:val="32"/>
          <w:lang w:val="en-US" w:eastAsia="zh-CN"/>
        </w:rPr>
        <w:t>271</w:t>
      </w:r>
      <w:r>
        <w:rPr>
          <w:rFonts w:hint="eastAsia" w:ascii="仿宋" w:hAnsi="仿宋" w:eastAsia="仿宋" w:cs="仿宋"/>
          <w:sz w:val="32"/>
          <w:szCs w:val="32"/>
        </w:rPr>
        <w:t>人中，转刑事拘留</w:t>
      </w:r>
      <w:r>
        <w:rPr>
          <w:rFonts w:hint="eastAsia" w:ascii="仿宋" w:hAnsi="仿宋" w:eastAsia="仿宋" w:cs="仿宋"/>
          <w:sz w:val="32"/>
          <w:szCs w:val="32"/>
          <w:lang w:val="en-US" w:eastAsia="zh-CN"/>
        </w:rPr>
        <w:t>6</w:t>
      </w:r>
      <w:r>
        <w:rPr>
          <w:rFonts w:hint="eastAsia" w:ascii="仿宋" w:hAnsi="仿宋" w:eastAsia="仿宋" w:cs="仿宋"/>
          <w:sz w:val="32"/>
          <w:szCs w:val="32"/>
        </w:rPr>
        <w:t>人，停止执行拘留3人，请假出所</w:t>
      </w:r>
      <w:r>
        <w:rPr>
          <w:rFonts w:hint="eastAsia" w:ascii="仿宋" w:hAnsi="仿宋" w:eastAsia="仿宋" w:cs="仿宋"/>
          <w:sz w:val="32"/>
          <w:szCs w:val="32"/>
          <w:lang w:val="en-US" w:eastAsia="zh-CN"/>
        </w:rPr>
        <w:t>3</w:t>
      </w:r>
      <w:r>
        <w:rPr>
          <w:rFonts w:hint="eastAsia" w:ascii="仿宋" w:hAnsi="仿宋" w:eastAsia="仿宋" w:cs="仿宋"/>
          <w:sz w:val="32"/>
          <w:szCs w:val="32"/>
        </w:rPr>
        <w:t>人，其余全部期满出所。</w:t>
      </w:r>
      <w:r>
        <w:rPr>
          <w:rFonts w:hint="eastAsia" w:ascii="仿宋" w:hAnsi="仿宋" w:eastAsia="仿宋" w:cs="仿宋"/>
          <w:sz w:val="32"/>
          <w:szCs w:val="32"/>
          <w:lang w:eastAsia="zh-CN"/>
        </w:rPr>
        <w:t>对在拘人员进行了全方位教育，营造了全社会扫黑除恶的良好氛围，激发了全体公民抵制恶黑势力的热情，全面提升公民的安全意识。</w:t>
      </w:r>
    </w:p>
    <w:p>
      <w:pPr>
        <w:numPr>
          <w:ilvl w:val="0"/>
          <w:numId w:val="0"/>
        </w:numPr>
        <w:ind w:left="420" w:leftChars="0"/>
        <w:rPr>
          <w:rFonts w:hint="eastAsia" w:ascii="仿宋" w:hAnsi="仿宋" w:eastAsia="仿宋" w:cs="仿宋"/>
          <w:color w:val="333333"/>
          <w:sz w:val="32"/>
          <w:szCs w:val="32"/>
        </w:rPr>
      </w:pPr>
      <w:r>
        <w:rPr>
          <w:rFonts w:hint="eastAsia" w:ascii="仿宋" w:hAnsi="仿宋" w:eastAsia="仿宋" w:cs="仿宋"/>
          <w:sz w:val="32"/>
          <w:szCs w:val="32"/>
          <w:lang w:eastAsia="zh-CN"/>
        </w:rPr>
        <w:t>2、开</w:t>
      </w:r>
      <w:r>
        <w:rPr>
          <w:rFonts w:hint="eastAsia" w:ascii="仿宋" w:hAnsi="仿宋" w:eastAsia="仿宋" w:cs="仿宋"/>
          <w:sz w:val="32"/>
          <w:szCs w:val="32"/>
        </w:rPr>
        <w:t>展警示教育，提高</w:t>
      </w:r>
      <w:r>
        <w:rPr>
          <w:rFonts w:hint="eastAsia" w:ascii="仿宋" w:hAnsi="仿宋" w:eastAsia="仿宋" w:cs="仿宋"/>
          <w:sz w:val="32"/>
          <w:szCs w:val="32"/>
          <w:lang w:eastAsia="zh-CN"/>
        </w:rPr>
        <w:t>公民</w:t>
      </w:r>
      <w:r>
        <w:rPr>
          <w:rFonts w:hint="eastAsia" w:ascii="仿宋" w:hAnsi="仿宋" w:eastAsia="仿宋" w:cs="仿宋"/>
          <w:sz w:val="32"/>
          <w:szCs w:val="32"/>
        </w:rPr>
        <w:t>的责任意识。一是适时组织</w:t>
      </w:r>
    </w:p>
    <w:p>
      <w:pPr>
        <w:numPr>
          <w:ilvl w:val="0"/>
          <w:numId w:val="0"/>
        </w:numPr>
        <w:rPr>
          <w:rFonts w:hint="eastAsia" w:ascii="仿宋" w:hAnsi="仿宋" w:eastAsia="仿宋" w:cs="仿宋"/>
          <w:color w:val="333333"/>
          <w:sz w:val="32"/>
          <w:szCs w:val="32"/>
        </w:rPr>
      </w:pPr>
      <w:r>
        <w:rPr>
          <w:rFonts w:hint="eastAsia" w:ascii="仿宋" w:hAnsi="仿宋" w:eastAsia="仿宋" w:cs="仿宋"/>
          <w:sz w:val="32"/>
          <w:szCs w:val="32"/>
          <w:lang w:eastAsia="zh-CN"/>
        </w:rPr>
        <w:t>民众</w:t>
      </w:r>
      <w:r>
        <w:rPr>
          <w:rFonts w:hint="eastAsia" w:ascii="仿宋" w:hAnsi="仿宋" w:eastAsia="仿宋" w:cs="仿宋"/>
          <w:sz w:val="32"/>
          <w:szCs w:val="32"/>
        </w:rPr>
        <w:t>学习、讨论上级有关监管场所的事故通报，举一反三，吸取教训。二是组织</w:t>
      </w:r>
      <w:r>
        <w:rPr>
          <w:rFonts w:hint="eastAsia" w:ascii="仿宋" w:hAnsi="仿宋" w:eastAsia="仿宋" w:cs="仿宋"/>
          <w:sz w:val="32"/>
          <w:szCs w:val="32"/>
          <w:lang w:eastAsia="zh-CN"/>
        </w:rPr>
        <w:t>民众</w:t>
      </w:r>
      <w:r>
        <w:rPr>
          <w:rFonts w:hint="eastAsia" w:ascii="仿宋" w:hAnsi="仿宋" w:eastAsia="仿宋" w:cs="仿宋"/>
          <w:sz w:val="32"/>
          <w:szCs w:val="32"/>
        </w:rPr>
        <w:t>观看警示教育片</w:t>
      </w:r>
      <w:r>
        <w:rPr>
          <w:rFonts w:hint="eastAsia" w:ascii="仿宋" w:hAnsi="仿宋" w:eastAsia="仿宋" w:cs="仿宋"/>
          <w:color w:val="333333"/>
          <w:sz w:val="32"/>
          <w:szCs w:val="32"/>
        </w:rPr>
        <w:t>，用活生生的事例来警示民警的工作，增强民警的责任意识，</w:t>
      </w:r>
      <w:r>
        <w:rPr>
          <w:rFonts w:hint="eastAsia" w:ascii="仿宋" w:hAnsi="仿宋" w:eastAsia="仿宋" w:cs="仿宋"/>
          <w:color w:val="333333"/>
          <w:sz w:val="32"/>
          <w:szCs w:val="32"/>
          <w:lang w:eastAsia="zh-CN"/>
        </w:rPr>
        <w:t>提高民众的法律意识，</w:t>
      </w:r>
      <w:r>
        <w:rPr>
          <w:rFonts w:hint="eastAsia" w:ascii="仿宋" w:hAnsi="仿宋" w:eastAsia="仿宋" w:cs="仿宋"/>
          <w:color w:val="333333"/>
          <w:sz w:val="32"/>
          <w:szCs w:val="32"/>
        </w:rPr>
        <w:t>做到警钟长鸣。</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rPr>
        <w:t>落实深挖犯罪工作。成立了领导班子，制定了奖励兑现方案，今年共获取违法犯罪线索1条，共破获各类案件10起。</w:t>
      </w:r>
      <w:r>
        <w:rPr>
          <w:rFonts w:hint="eastAsia" w:ascii="仿宋" w:hAnsi="仿宋" w:eastAsia="仿宋" w:cs="仿宋"/>
          <w:sz w:val="32"/>
          <w:szCs w:val="32"/>
          <w:lang w:eastAsia="zh-CN"/>
        </w:rPr>
        <w:t>为平安南县摘除毒瘤。</w:t>
      </w:r>
    </w:p>
    <w:p>
      <w:pPr>
        <w:numPr>
          <w:ilvl w:val="0"/>
          <w:numId w:val="1"/>
        </w:numPr>
        <w:topLinePunct/>
        <w:spacing w:line="56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自身</w:t>
      </w:r>
      <w:r>
        <w:rPr>
          <w:rFonts w:hint="default" w:ascii="仿宋" w:hAnsi="仿宋" w:eastAsia="仿宋" w:cs="仿宋"/>
          <w:sz w:val="32"/>
          <w:szCs w:val="32"/>
          <w:lang w:val="en-US" w:eastAsia="zh-CN"/>
        </w:rPr>
        <w:t>监督管理制度</w:t>
      </w:r>
      <w:r>
        <w:rPr>
          <w:rFonts w:hint="eastAsia" w:ascii="仿宋" w:hAnsi="仿宋" w:eastAsia="仿宋" w:cs="仿宋"/>
          <w:sz w:val="32"/>
          <w:szCs w:val="32"/>
          <w:lang w:val="en-US" w:eastAsia="zh-CN"/>
        </w:rPr>
        <w:t>还有待</w:t>
      </w:r>
      <w:r>
        <w:rPr>
          <w:rFonts w:hint="default" w:ascii="仿宋" w:hAnsi="仿宋" w:eastAsia="仿宋" w:cs="仿宋"/>
          <w:sz w:val="32"/>
          <w:szCs w:val="32"/>
          <w:lang w:val="en-US" w:eastAsia="zh-CN"/>
        </w:rPr>
        <w:t>健全，</w:t>
      </w:r>
      <w:r>
        <w:rPr>
          <w:rFonts w:hint="eastAsia" w:ascii="仿宋" w:hAnsi="仿宋" w:eastAsia="仿宋" w:cs="仿宋"/>
          <w:sz w:val="32"/>
          <w:szCs w:val="32"/>
          <w:lang w:val="en-US" w:eastAsia="zh-CN"/>
        </w:rPr>
        <w:t>某些方面</w:t>
      </w:r>
      <w:r>
        <w:rPr>
          <w:rFonts w:hint="default" w:ascii="仿宋" w:hAnsi="仿宋" w:eastAsia="仿宋" w:cs="仿宋"/>
          <w:sz w:val="32"/>
          <w:szCs w:val="32"/>
          <w:lang w:val="en-US" w:eastAsia="zh-CN"/>
        </w:rPr>
        <w:t>制度</w:t>
      </w:r>
      <w:r>
        <w:rPr>
          <w:rFonts w:hint="eastAsia" w:ascii="仿宋" w:hAnsi="仿宋" w:eastAsia="仿宋" w:cs="仿宋"/>
          <w:sz w:val="32"/>
          <w:szCs w:val="32"/>
          <w:lang w:val="en-US" w:eastAsia="zh-CN"/>
        </w:rPr>
        <w:t>执行水平有待进一步提高，预算编制有待更加细化、精准</w:t>
      </w:r>
      <w:r>
        <w:rPr>
          <w:rFonts w:hint="default" w:ascii="仿宋" w:hAnsi="仿宋" w:eastAsia="仿宋" w:cs="仿宋"/>
          <w:sz w:val="32"/>
          <w:szCs w:val="32"/>
          <w:lang w:val="en-US" w:eastAsia="zh-CN"/>
        </w:rPr>
        <w:t>。</w:t>
      </w:r>
    </w:p>
    <w:p>
      <w:pPr>
        <w:numPr>
          <w:ilvl w:val="0"/>
          <w:numId w:val="1"/>
        </w:numPr>
        <w:topLinePunct/>
        <w:spacing w:line="560" w:lineRule="exact"/>
        <w:ind w:left="0" w:leftChars="0"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有关建议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是科学制定年度绩效目标。年度绩效目标应结合单位职能、年度工作重点，细化量化可操作、可考核的绩效目标。制订《</w:t>
      </w:r>
      <w:r>
        <w:rPr>
          <w:rFonts w:hint="eastAsia" w:ascii="仿宋" w:hAnsi="仿宋" w:eastAsia="仿宋" w:cs="仿宋"/>
          <w:sz w:val="32"/>
          <w:szCs w:val="32"/>
          <w:lang w:eastAsia="zh-CN"/>
        </w:rPr>
        <w:t>事业</w:t>
      </w:r>
      <w:r>
        <w:rPr>
          <w:rFonts w:hint="eastAsia" w:ascii="仿宋" w:hAnsi="仿宋" w:eastAsia="仿宋" w:cs="仿宋"/>
          <w:sz w:val="32"/>
          <w:szCs w:val="32"/>
        </w:rPr>
        <w:t>单位内部控制制度》，形成完整的内控体系，完善项目管理制度，拟定相关考核办法包括工作目标量化管理及考核办法、</w:t>
      </w:r>
      <w:r>
        <w:rPr>
          <w:rFonts w:hint="eastAsia" w:ascii="仿宋" w:hAnsi="仿宋" w:eastAsia="仿宋" w:cs="仿宋"/>
          <w:sz w:val="32"/>
          <w:szCs w:val="32"/>
          <w:lang w:eastAsia="zh-CN"/>
        </w:rPr>
        <w:t>文化</w:t>
      </w:r>
      <w:r>
        <w:rPr>
          <w:rFonts w:hint="eastAsia" w:ascii="仿宋" w:hAnsi="仿宋" w:eastAsia="仿宋" w:cs="仿宋"/>
          <w:sz w:val="32"/>
          <w:szCs w:val="32"/>
        </w:rPr>
        <w:t>宣传考核督查办法等；建立完善的绩效目标计划、实施、执行、检查、反馈、奖惩系统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是根据绩效目标，合理编制年度预算。结合上一年度预算执行情况及本年度预算收支变化因素，根据部门具体绩效目标，科学编制本年度预算，力求精准，尽量减少调项和追加，保持预算执行的严肃性</w:t>
      </w:r>
      <w:r>
        <w:rPr>
          <w:rFonts w:hint="eastAsia" w:ascii="仿宋" w:hAnsi="仿宋" w:eastAsia="仿宋" w:cs="仿宋"/>
          <w:sz w:val="32"/>
          <w:szCs w:val="32"/>
          <w:lang w:eastAsia="zh-CN"/>
        </w:rPr>
        <w:t>。</w:t>
      </w:r>
    </w:p>
    <w:p>
      <w:pPr>
        <w:topLinePunct/>
        <w:spacing w:line="56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六、其他需要说明的问题</w:t>
      </w:r>
    </w:p>
    <w:p>
      <w:pPr>
        <w:topLinePunct/>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无</w:t>
      </w:r>
    </w:p>
    <w:p>
      <w:pPr>
        <w:topLinePunct/>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2"/>
        <w:rPr>
          <w:rFonts w:hint="eastAsia"/>
          <w:lang w:eastAsia="zh-CN"/>
        </w:rPr>
      </w:pPr>
    </w:p>
    <w:p>
      <w:pPr>
        <w:spacing w:line="560" w:lineRule="exact"/>
        <w:ind w:firstLine="5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w:t>
      </w:r>
    </w:p>
    <w:p>
      <w:pPr>
        <w:ind w:firstLine="720"/>
        <w:jc w:val="center"/>
        <w:rPr>
          <w:rFonts w:hint="eastAsia" w:ascii="仿宋" w:hAnsi="仿宋" w:eastAsia="仿宋" w:cs="仿宋"/>
          <w:color w:val="000000"/>
          <w:sz w:val="36"/>
          <w:szCs w:val="36"/>
        </w:rPr>
      </w:pPr>
      <w:r>
        <w:rPr>
          <w:rFonts w:hint="eastAsia" w:ascii="仿宋" w:hAnsi="仿宋" w:eastAsia="仿宋" w:cs="仿宋"/>
          <w:color w:val="000000"/>
          <w:sz w:val="36"/>
          <w:szCs w:val="36"/>
        </w:rPr>
        <w:t>2020年部门整体支出绩效自评指标计分表</w:t>
      </w:r>
    </w:p>
    <w:p>
      <w:pPr>
        <w:spacing w:line="300" w:lineRule="exact"/>
        <w:ind w:firstLine="640"/>
        <w:rPr>
          <w:rFonts w:hint="eastAsia" w:ascii="仿宋" w:hAnsi="仿宋" w:eastAsia="仿宋" w:cs="仿宋"/>
          <w:color w:val="000000"/>
        </w:rPr>
      </w:pPr>
      <w:r>
        <w:rPr>
          <w:rFonts w:hint="eastAsia" w:ascii="仿宋" w:hAnsi="仿宋" w:eastAsia="仿宋" w:cs="仿宋"/>
          <w:color w:val="000000"/>
        </w:rPr>
        <w:t xml:space="preserve"> </w:t>
      </w:r>
    </w:p>
    <w:tbl>
      <w:tblPr>
        <w:tblStyle w:val="5"/>
        <w:tblW w:w="9992" w:type="dxa"/>
        <w:jc w:val="center"/>
        <w:tblLayout w:type="fixed"/>
        <w:tblCellMar>
          <w:top w:w="0" w:type="dxa"/>
          <w:left w:w="0" w:type="dxa"/>
          <w:bottom w:w="0" w:type="dxa"/>
          <w:right w:w="0" w:type="dxa"/>
        </w:tblCellMar>
      </w:tblPr>
      <w:tblGrid>
        <w:gridCol w:w="828"/>
        <w:gridCol w:w="784"/>
        <w:gridCol w:w="976"/>
        <w:gridCol w:w="601"/>
        <w:gridCol w:w="2431"/>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一级</w:t>
            </w:r>
            <w:r>
              <w:rPr>
                <w:rFonts w:hint="eastAsia" w:ascii="仿宋" w:hAnsi="仿宋" w:eastAsia="仿宋" w:cs="仿宋"/>
                <w:color w:val="000000"/>
              </w:rPr>
              <w:br w:type="textWrapping"/>
            </w:r>
            <w:r>
              <w:rPr>
                <w:rFonts w:hint="eastAsia" w:ascii="仿宋" w:hAnsi="仿宋" w:eastAsia="仿宋" w:cs="仿宋"/>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二级</w:t>
            </w:r>
          </w:p>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指标</w:t>
            </w: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三级  指标</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自评分</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投 入</w:t>
            </w:r>
          </w:p>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目标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设定</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绩效目标合理性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绩效指标明确性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（3分）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预算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配置</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在职人员控制率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“三公</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经费”</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变动率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重点支出安排率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过  程（30分）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预算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执行</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（20分）</w:t>
            </w: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预算</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完成率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预算</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调整率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支付</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进度率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结转结余控制率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公用经费控制率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“三公经费”控制率（2分）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政府采购执行率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预算</w:t>
            </w:r>
          </w:p>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管理</w:t>
            </w:r>
          </w:p>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管理制度健全性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资金使用合规性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预决算信息公开性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基础信息完善性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资产</w:t>
            </w:r>
            <w:r>
              <w:rPr>
                <w:rFonts w:hint="eastAsia" w:ascii="仿宋" w:hAnsi="仿宋" w:eastAsia="仿宋" w:cs="仿宋"/>
                <w:color w:val="000000"/>
              </w:rPr>
              <w:br w:type="textWrapping"/>
            </w:r>
            <w:r>
              <w:rPr>
                <w:rFonts w:hint="eastAsia" w:ascii="仿宋" w:hAnsi="仿宋" w:eastAsia="仿宋" w:cs="仿宋"/>
                <w:color w:val="000000"/>
              </w:rPr>
              <w:t>管理</w:t>
            </w:r>
          </w:p>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管理制度健全性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hint="eastAsia" w:ascii="仿宋" w:hAnsi="仿宋" w:eastAsia="仿宋" w:cs="仿宋"/>
                <w:color w:val="000000"/>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资产管理安全性</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hint="eastAsia" w:ascii="仿宋" w:hAnsi="仿宋" w:eastAsia="仿宋" w:cs="仿宋"/>
                <w:color w:val="000000"/>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固定资产利用率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产  出（30分）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职责</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履行</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实际</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完成率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（8分）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完成</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及时率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质量</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达标率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（8分）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重点工作办结率</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 w:hAnsi="仿宋" w:eastAsia="仿宋" w:cs="仿宋"/>
                <w:color w:val="000000"/>
              </w:rPr>
            </w:pPr>
            <w:r>
              <w:rPr>
                <w:rFonts w:hint="eastAsia" w:ascii="仿宋" w:hAnsi="仿宋" w:eastAsia="仿宋" w:cs="仿宋"/>
                <w:color w:val="000000"/>
              </w:rPr>
              <w:t>效  果（20分）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履职</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效益</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经济效益</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社会效益</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生态效益</w:t>
            </w:r>
          </w:p>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hint="eastAsia"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hint="eastAsia"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社会公众或服务对象满意度（5分）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仿宋" w:hAnsi="仿宋" w:eastAsia="仿宋" w:cs="仿宋"/>
                <w:color w:val="000000"/>
                <w:sz w:val="18"/>
                <w:szCs w:val="18"/>
              </w:rPr>
            </w:pPr>
            <w:r>
              <w:rPr>
                <w:rFonts w:hint="eastAsia" w:ascii="仿宋" w:hAnsi="仿宋" w:eastAsia="仿宋" w:cs="仿宋"/>
                <w:color w:val="000000"/>
                <w:kern w:val="0"/>
                <w:sz w:val="18"/>
                <w:szCs w:val="18"/>
              </w:rPr>
              <w:t>按收集到的服务对象的满意率计算得分（5分）</w:t>
            </w:r>
          </w:p>
        </w:tc>
      </w:tr>
    </w:tbl>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pStyle w:val="2"/>
        <w:rPr>
          <w:rFonts w:hint="eastAsia" w:ascii="仿宋" w:hAnsi="仿宋" w:eastAsia="仿宋" w:cs="仿宋"/>
          <w:color w:val="000000"/>
        </w:rPr>
      </w:pPr>
    </w:p>
    <w:p>
      <w:pPr>
        <w:rPr>
          <w:rFonts w:hint="eastAsia" w:ascii="仿宋" w:hAnsi="仿宋" w:eastAsia="仿宋" w:cs="仿宋"/>
          <w:color w:val="000000"/>
        </w:rPr>
      </w:pPr>
    </w:p>
    <w:p>
      <w:pPr>
        <w:pStyle w:val="2"/>
        <w:rPr>
          <w:rFonts w:hint="eastAsia"/>
        </w:rPr>
      </w:pP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p>
    <w:p>
      <w:pPr>
        <w:shd w:val="clear" w:color="auto" w:fill="FFFFFF"/>
        <w:spacing w:line="580" w:lineRule="exact"/>
        <w:ind w:firstLine="640"/>
        <w:rPr>
          <w:rFonts w:hint="eastAsia" w:ascii="仿宋" w:hAnsi="仿宋" w:eastAsia="仿宋" w:cs="仿宋"/>
          <w:color w:val="000000"/>
        </w:rPr>
      </w:pPr>
    </w:p>
    <w:p>
      <w:pPr>
        <w:shd w:val="clear" w:color="auto" w:fill="FFFFFF"/>
        <w:spacing w:line="580" w:lineRule="exact"/>
        <w:ind w:firstLine="640"/>
        <w:rPr>
          <w:rFonts w:hint="eastAsia" w:ascii="仿宋" w:hAnsi="仿宋" w:eastAsia="仿宋" w:cs="仿宋"/>
          <w:color w:val="000000"/>
        </w:rPr>
      </w:pP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lang w:eastAsia="zh-CN"/>
        </w:rPr>
      </w:pPr>
      <w:r>
        <w:rPr>
          <w:rFonts w:hint="eastAsia" w:ascii="仿宋" w:hAnsi="仿宋" w:eastAsia="仿宋" w:cs="仿宋"/>
          <w:color w:val="00000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9BCD"/>
    <w:multiLevelType w:val="singleLevel"/>
    <w:tmpl w:val="03A39BC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FE"/>
    <w:rsid w:val="00670E51"/>
    <w:rsid w:val="009324AC"/>
    <w:rsid w:val="00BE467A"/>
    <w:rsid w:val="00CB31FE"/>
    <w:rsid w:val="02913770"/>
    <w:rsid w:val="02EF043F"/>
    <w:rsid w:val="07F30650"/>
    <w:rsid w:val="0A17724D"/>
    <w:rsid w:val="0B3E5642"/>
    <w:rsid w:val="0D135331"/>
    <w:rsid w:val="0D2F2CD0"/>
    <w:rsid w:val="0EB110BA"/>
    <w:rsid w:val="114D5999"/>
    <w:rsid w:val="147767F0"/>
    <w:rsid w:val="16855283"/>
    <w:rsid w:val="18DC7FA3"/>
    <w:rsid w:val="1F6072F8"/>
    <w:rsid w:val="20496633"/>
    <w:rsid w:val="21813CB3"/>
    <w:rsid w:val="2555693B"/>
    <w:rsid w:val="2AF611AD"/>
    <w:rsid w:val="2BB13F97"/>
    <w:rsid w:val="357115E5"/>
    <w:rsid w:val="36B031A4"/>
    <w:rsid w:val="36C8272B"/>
    <w:rsid w:val="38C57835"/>
    <w:rsid w:val="3AF01A04"/>
    <w:rsid w:val="3D1505CE"/>
    <w:rsid w:val="42DA5DD5"/>
    <w:rsid w:val="46E445B0"/>
    <w:rsid w:val="47A61845"/>
    <w:rsid w:val="4ACE0179"/>
    <w:rsid w:val="4FAE29E9"/>
    <w:rsid w:val="56D462FC"/>
    <w:rsid w:val="57871ED5"/>
    <w:rsid w:val="5C630C95"/>
    <w:rsid w:val="5ECC708B"/>
    <w:rsid w:val="63B04F95"/>
    <w:rsid w:val="677C71A2"/>
    <w:rsid w:val="6C560094"/>
    <w:rsid w:val="73D629F2"/>
    <w:rsid w:val="740B5512"/>
    <w:rsid w:val="7A053979"/>
    <w:rsid w:val="7EFF6845"/>
    <w:rsid w:val="7F41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4">
    <w:name w:val="heading 3"/>
    <w:basedOn w:val="1"/>
    <w:next w:val="1"/>
    <w:link w:val="9"/>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character" w:styleId="7">
    <w:name w:val="Strong"/>
    <w:basedOn w:val="6"/>
    <w:qFormat/>
    <w:uiPriority w:val="22"/>
    <w:rPr>
      <w:b/>
      <w:bCs/>
    </w:rPr>
  </w:style>
  <w:style w:type="character" w:customStyle="1" w:styleId="8">
    <w:name w:val="标题 1 字符"/>
    <w:basedOn w:val="6"/>
    <w:link w:val="3"/>
    <w:qFormat/>
    <w:uiPriority w:val="9"/>
    <w:rPr>
      <w:rFonts w:ascii="Calibri" w:hAnsi="Calibri" w:eastAsia="方正小标宋_GBK" w:cs="Calibri"/>
      <w:bCs/>
      <w:kern w:val="44"/>
      <w:sz w:val="44"/>
      <w:szCs w:val="44"/>
    </w:rPr>
  </w:style>
  <w:style w:type="character" w:customStyle="1" w:styleId="9">
    <w:name w:val="标题 3 字符"/>
    <w:basedOn w:val="6"/>
    <w:link w:val="4"/>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5851</Characters>
  <Lines>48</Lines>
  <Paragraphs>13</Paragraphs>
  <TotalTime>1</TotalTime>
  <ScaleCrop>false</ScaleCrop>
  <LinksUpToDate>false</LinksUpToDate>
  <CharactersWithSpaces>6864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Administrator</cp:lastModifiedBy>
  <dcterms:modified xsi:type="dcterms:W3CDTF">2022-04-25T01:09:57Z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272084105_btnclosed</vt:lpwstr>
  </property>
  <property fmtid="{D5CDD505-2E9C-101B-9397-08002B2CF9AE}" pid="3" name="KSOProductBuildVer">
    <vt:lpwstr>2052-11.1.0.10314</vt:lpwstr>
  </property>
  <property fmtid="{D5CDD505-2E9C-101B-9397-08002B2CF9AE}" pid="4" name="ICV">
    <vt:lpwstr>3A8B23A7D6EA4B5494E28C8B2687134D</vt:lpwstr>
  </property>
</Properties>
</file>