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ind w:left="3047" w:leftChars="1245" w:hanging="433" w:hangingChars="98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南县妇女联合会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autoSpaceDE w:val="0"/>
        <w:autoSpaceDN w:val="0"/>
        <w:bidi w:val="0"/>
        <w:adjustRightInd/>
        <w:snapToGrid/>
        <w:spacing w:line="240" w:lineRule="auto"/>
        <w:ind w:left="0" w:leftChars="0" w:firstLine="883" w:firstLineChars="200"/>
        <w:jc w:val="left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Style w:val="8"/>
          <w:rFonts w:hint="eastAsia" w:ascii="仿宋" w:hAnsi="仿宋" w:eastAsia="仿宋" w:cs="仿宋"/>
          <w:b/>
          <w:bCs/>
          <w:color w:val="auto"/>
          <w:sz w:val="44"/>
          <w:szCs w:val="44"/>
        </w:rPr>
        <w:t>20</w:t>
      </w:r>
      <w:r>
        <w:rPr>
          <w:rStyle w:val="8"/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20</w:t>
      </w:r>
      <w:r>
        <w:rPr>
          <w:rStyle w:val="8"/>
          <w:rFonts w:hint="eastAsia" w:ascii="仿宋" w:hAnsi="仿宋" w:eastAsia="仿宋" w:cs="仿宋"/>
          <w:b/>
          <w:bCs/>
          <w:color w:val="auto"/>
          <w:sz w:val="44"/>
          <w:szCs w:val="44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项目支出绩效评价报告</w:t>
      </w:r>
    </w:p>
    <w:p>
      <w:pPr>
        <w:spacing w:line="560" w:lineRule="exact"/>
        <w:ind w:firstLine="420" w:firstLineChars="200"/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  <w:t xml:space="preserve">         </w:t>
      </w:r>
    </w:p>
    <w:p>
      <w:pPr>
        <w:spacing w:line="560" w:lineRule="exact"/>
        <w:ind w:firstLine="422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一、项目基本情况</w:t>
      </w:r>
    </w:p>
    <w:p>
      <w:pPr>
        <w:topLinePunct/>
        <w:autoSpaceDE w:val="0"/>
        <w:spacing w:line="560" w:lineRule="exact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（一）项目基本情况简介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topLinePunct/>
        <w:autoSpaceDE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</w:rPr>
        <w:t>项目支出主要涉及到部门预算项目，其中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妇女儿童事业发展专项经费34.5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万元；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婚姻调解工作经费5.8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万元。</w:t>
      </w:r>
    </w:p>
    <w:p>
      <w:pPr>
        <w:topLinePunct/>
        <w:autoSpaceDE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（二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绩效目标设定及指标完成情况。</w:t>
      </w:r>
    </w:p>
    <w:p>
      <w:pPr>
        <w:numPr>
          <w:ilvl w:val="0"/>
          <w:numId w:val="0"/>
        </w:numPr>
        <w:topLinePunct/>
        <w:autoSpaceDE w:val="0"/>
        <w:spacing w:line="56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资金及时拨付到位，各项任务圆满完成。</w:t>
      </w:r>
    </w:p>
    <w:p>
      <w:pPr>
        <w:topLinePunct/>
        <w:autoSpaceDE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二、绩效评价工作情况</w:t>
      </w:r>
    </w:p>
    <w:p>
      <w:pPr>
        <w:topLinePunct/>
        <w:autoSpaceDE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（一）绩效评价目的。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严格落实《预算法》及省、市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绩效管理工作的有关规定，进一步规范财政资金的管理，强化财政支出绩效理念，提升部门责任意识，提高资金使用效益。</w:t>
      </w:r>
    </w:p>
    <w:p>
      <w:pPr>
        <w:numPr>
          <w:ilvl w:val="0"/>
          <w:numId w:val="0"/>
        </w:numPr>
        <w:topLinePunct/>
        <w:autoSpaceDE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项目资金安排落实、总投入等情况分析，</w:t>
      </w:r>
      <w: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</w:rPr>
        <w:t>项目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资金实际使用等情况分析。</w:t>
      </w:r>
    </w:p>
    <w:p>
      <w:pPr>
        <w:topLinePunct/>
        <w:autoSpaceDE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2021年部门预算总计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100.46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万元，其中项目资金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两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项：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妇女儿童事业发展专项经费34.5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万元，占部门预算数的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34.34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%；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婚姻调解工作经费5.8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万元，占部门预算数的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5.77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%。</w:t>
      </w:r>
    </w:p>
    <w:p>
      <w:pPr>
        <w:topLinePunct/>
        <w:autoSpaceDE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以上资金已经全部拨付至我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，并已全部投入到项目之中。</w:t>
      </w:r>
    </w:p>
    <w:p>
      <w:pPr>
        <w:numPr>
          <w:ilvl w:val="0"/>
          <w:numId w:val="1"/>
        </w:numPr>
        <w:topLinePunct/>
        <w:autoSpaceDE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项目组织情况分析。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严格按照年初预算进行部门整体支出。在支出过程中，能严格遵守各项规章制度。在专项经费支出上，我们能严格执行专项资金财务管理办法，专款专用，无截留、无挪用等现象。</w:t>
      </w:r>
    </w:p>
    <w:p>
      <w:pPr>
        <w:numPr>
          <w:ilvl w:val="0"/>
          <w:numId w:val="1"/>
        </w:numPr>
        <w:topLinePunct/>
        <w:autoSpaceDE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项目资金管理情况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为了规范财政专项资金管理，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制定了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《财务管理制度》、《专项资金管理制度》等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一系列的规章制度和办法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，严格遵守专款专用、不截留、不挪用。设立专账，单独核算，同时建立资金使用台账。</w:t>
      </w:r>
    </w:p>
    <w:p>
      <w:pPr>
        <w:numPr>
          <w:ilvl w:val="0"/>
          <w:numId w:val="0"/>
        </w:numPr>
        <w:topLinePunct/>
        <w:autoSpaceDE w:val="0"/>
        <w:spacing w:line="560" w:lineRule="exact"/>
        <w:ind w:left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项目绩效情况</w:t>
      </w:r>
    </w:p>
    <w:p>
      <w:pPr>
        <w:topLinePunct/>
        <w:spacing w:line="560" w:lineRule="exact"/>
        <w:ind w:firstLine="640" w:firstLineChars="200"/>
        <w:rPr>
          <w:rFonts w:hint="eastAsia" w:ascii="楷体_GB2312" w:eastAsia="楷体_GB2312"/>
          <w:color w:val="000000"/>
          <w:sz w:val="32"/>
          <w:szCs w:val="32"/>
          <w:lang w:eastAsia="zh-CN"/>
        </w:rPr>
      </w:pP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妇女儿童事业发展专项经费34.5</w:t>
      </w: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万元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jc w:val="left"/>
        <w:rPr>
          <w:rFonts w:hint="eastAsia"/>
          <w:lang w:eastAsia="zh-CN"/>
        </w:rPr>
      </w:pPr>
      <w:r>
        <w:rPr>
          <w:rFonts w:hint="eastAsia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推进“巾帼大宣讲”走实走新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组织开展“百千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巾帼大宣讲”活动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树立典型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发挥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示范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带动作用，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深入开展创建“平安家庭”，寻找“最美家庭”“文明家庭”等活动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深化群众性普法活动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全年共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举办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参与各类普法维权宣传活动6场次，发放宣传资料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000余份。</w:t>
      </w:r>
      <w:r>
        <w:rPr>
          <w:rFonts w:hint="eastAsia" w:eastAsia="仿宋_GB2312" w:cs="Times New Roman"/>
          <w:b/>
          <w:bCs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是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服务关爱紧贴民心</w:t>
      </w:r>
      <w:r>
        <w:rPr>
          <w:rFonts w:hint="eastAsia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开展妇女儿童救助帮扶活动。</w:t>
      </w:r>
      <w:r>
        <w:rPr>
          <w:rFonts w:hint="eastAsia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五是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引导创业创新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定点定向组织技能培训班3期，帮助150余名妇女扎实掌握相关服务技能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eastAsia="仿宋_GB2312" w:cs="Times New Roman"/>
          <w:b/>
          <w:bCs/>
          <w:kern w:val="2"/>
          <w:sz w:val="32"/>
          <w:szCs w:val="32"/>
          <w:lang w:val="en-US" w:eastAsia="zh-CN" w:bidi="ar-SA"/>
        </w:rPr>
        <w:t>六是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大力实施重点民生实事项目——农村和城镇适龄妇女两癌免费检查工作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，超额完成目标任务，积极争取上级妇联贫困母亲“两癌”救助金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七</w:t>
      </w:r>
      <w:r>
        <w:rPr>
          <w:rFonts w:hint="eastAsia" w:eastAsia="仿宋_GB2312" w:cs="Times New Roman"/>
          <w:b/>
          <w:bCs/>
          <w:kern w:val="2"/>
          <w:sz w:val="32"/>
          <w:szCs w:val="32"/>
          <w:lang w:val="en-US" w:eastAsia="zh-CN" w:bidi="ar-SA"/>
        </w:rPr>
        <w:t>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在全县开展“美丽农户”和“绿色家庭”创建工作，共创建各级“绿色家庭”、“美丽农户”，促进乡村文明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eastAsia="仿宋_GB2312" w:cs="Times New Roman"/>
          <w:b/>
          <w:bCs/>
          <w:kern w:val="2"/>
          <w:sz w:val="32"/>
          <w:szCs w:val="32"/>
          <w:lang w:val="en-US" w:eastAsia="zh-CN" w:bidi="ar-SA"/>
        </w:rPr>
        <w:t>八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健全家教公益平台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线上依托妇联新媒体网络矩阵、网络家长学校，线下组织家庭教育宣讲团成员常态化深入学校、村（社区）开展家庭教育公益讲堂、亲子阅读等活动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全年开设家庭教育讲座12次。</w:t>
      </w:r>
    </w:p>
    <w:p>
      <w:pPr>
        <w:topLinePunct/>
        <w:spacing w:line="560" w:lineRule="exact"/>
        <w:ind w:firstLine="640" w:firstLineChars="200"/>
        <w:rPr>
          <w:rFonts w:hint="eastAsia" w:ascii="楷体_GB2312" w:eastAsia="楷体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楷体_GB2312" w:eastAsia="楷体_GB2312"/>
          <w:b w:val="0"/>
          <w:bCs w:val="0"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eastAsia="楷体_GB2312"/>
          <w:b w:val="0"/>
          <w:bCs w:val="0"/>
          <w:color w:val="000000"/>
          <w:sz w:val="32"/>
          <w:szCs w:val="32"/>
          <w:lang w:val="en-US" w:eastAsia="zh-CN"/>
        </w:rPr>
        <w:t>婚姻调解工作经费5.8</w:t>
      </w:r>
      <w:r>
        <w:rPr>
          <w:rFonts w:hint="eastAsia" w:ascii="楷体_GB2312" w:eastAsia="楷体_GB2312"/>
          <w:b w:val="0"/>
          <w:bCs w:val="0"/>
          <w:color w:val="000000"/>
          <w:sz w:val="32"/>
          <w:szCs w:val="32"/>
          <w:lang w:eastAsia="zh-CN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打造“好好说话工作室”，创新发展“三色预警”调处模式的基础上，进一步将端口前移、向基层延伸，以县婚调委为中心，全县12个乡镇综治办联合司法所、妇联搭建家庭纠纷调解平台，并向村（社区）辐射，形成了“1+12+X”的县、乡（镇）、村（社区）三级联动家庭纠纷调解格局，做到及早发现，及早处理，尽可能将隐患消除在萌芽状态。以专业引领促志愿联动，通过强化培训和健全工作模式，培养出了一支精业务、高素质的调解员专业队伍。同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认真处理好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来电来访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,积极化解矛盾纠纷,努力为妇女群众提供快捷、有效的法律帮助和服务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2020年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已经为群众提供婚姻家庭咨询服务和婚姻辅导1500余人次，成功化解婚姻家庭纠纷矛盾432对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topLinePunct/>
        <w:autoSpaceDE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存在的问题</w:t>
      </w:r>
    </w:p>
    <w:p>
      <w:pPr>
        <w:numPr>
          <w:ilvl w:val="0"/>
          <w:numId w:val="0"/>
        </w:numPr>
        <w:topLinePunct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（一）预算执行存在偏差。由于年初预算安排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妇女儿童事业发展专项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工作经费不足，导致实际该项目支出高于年初预算，预算编制与实际情况存在偏差。</w:t>
      </w:r>
    </w:p>
    <w:p>
      <w:pPr>
        <w:numPr>
          <w:ilvl w:val="0"/>
          <w:numId w:val="0"/>
        </w:numPr>
        <w:topLinePunct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）绩效目标设立不够细化和量化。自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监督管理制度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还有待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健全，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某些方面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执行水平有待进一步提高，预算编制有待更加细化、精准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topLinePunct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五、其他需要说明的问题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topLinePunct/>
        <w:spacing w:line="560" w:lineRule="exact"/>
        <w:ind w:firstLine="640" w:firstLineChars="200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楷体_GB2312" w:eastAsia="楷体_GB2312"/>
          <w:color w:val="000000"/>
          <w:sz w:val="32"/>
          <w:szCs w:val="32"/>
        </w:rPr>
        <w:t>改进措施和有关建议</w:t>
      </w:r>
    </w:p>
    <w:p>
      <w:pPr>
        <w:numPr>
          <w:ilvl w:val="0"/>
          <w:numId w:val="0"/>
        </w:numPr>
        <w:topLinePunct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进一步强化预算管理，提高单位预算执行力度。进一步规范绩效目标编制，在编制项目资金绩效目标时要求指向明确、细化量化、合理可行、相应匹配。组织岗位实务学习与培训，及时更新业务知识，让财务人员通过学习能够科学合理地编制部门预算，切实提高部门预算收支管理水平。</w:t>
      </w:r>
    </w:p>
    <w:p>
      <w:pPr>
        <w:topLinePunct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shd w:val="clear" w:color="auto" w:fill="FFFFFF"/>
        <w:spacing w:line="580" w:lineRule="exact"/>
        <w:ind w:firstLine="640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</w:p>
    <w:p>
      <w:pPr>
        <w:pStyle w:val="2"/>
        <w:rPr>
          <w:rFonts w:hint="eastAsia" w:ascii="仿宋" w:hAnsi="仿宋" w:eastAsia="仿宋" w:cs="仿宋"/>
          <w:color w:val="000000"/>
        </w:rPr>
      </w:pPr>
      <w:bookmarkStart w:id="0" w:name="_GoBack"/>
      <w:bookmarkEnd w:id="0"/>
    </w:p>
    <w:p>
      <w:pPr>
        <w:shd w:val="clear" w:color="auto" w:fill="FFFFFF"/>
        <w:spacing w:line="580" w:lineRule="exact"/>
        <w:ind w:firstLine="64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 xml:space="preserve"> 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表</w:t>
      </w:r>
    </w:p>
    <w:p>
      <w:pPr>
        <w:spacing w:line="600" w:lineRule="exact"/>
        <w:ind w:firstLine="880"/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44"/>
          <w:szCs w:val="44"/>
        </w:rPr>
        <w:t>2020年项目支出绩效自评指标计分表</w:t>
      </w:r>
    </w:p>
    <w:p>
      <w:pPr>
        <w:spacing w:line="400" w:lineRule="exact"/>
        <w:ind w:firstLine="880"/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44"/>
          <w:szCs w:val="44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（20分）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（4分）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（4分）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设有目标（1分）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目标明确（1分）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目标细化（1分）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目标量化（1分）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（4分）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符合法律法规（1分）符合经济社会发展规划（1分）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部门年度工作计划（1分）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针对某一实际问题和需求（1分）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（4分）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符合申报条件（2分）项目申报、批复程序符合管理办法（1分）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项目调整履行了相应手续（1分）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有相应的资金管理办法（1分）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办法健全、规范（1分）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因素全面合理（1分）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符合分配办法（2分）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分配公平合理（3分）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管理 （25分）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实际到位/计划到位*100%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（2分）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到位及时（2分）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不及时但未影响项目进度 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不及时并影响项目进度（0.5分）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（7分）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虚列套取扣4-7分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依据不合规扣2分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截留、挤占、挪用扣3-6分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超标准开支扣2-5分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超预算扣2-5分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财务制度健全（1分）严格执行制度（1分）会计核算规范（1分）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机构健全、分工明确  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按计划开工（1分）  按计划开展（1分）   按计划完工（1分）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（6分）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管理制度健全（2分）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制度执行严格（4分）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（55分）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（15分）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对照绩效目标，按实际产出数量率计算得分（5分）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（4分）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对照绩效目标，按实际产出质量率计算得分（4分）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对照绩效目标，按实际产出时效率计算得分（3分）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对照绩效目标，按实际产出成本率计算得分（3分）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（40分）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对照绩效目标，按经济效益实现程度计算得分（8分）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对照绩效目标，按社会效益实现程度计算得分（8分）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对照绩效目标，按对环境所产生的实际影响程度计算得分（8分）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项目产出能持续运用（4分）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所依赖的政策制度能持续执行（4分）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按收集到的项目服务对象的满意率计算得分（8分）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 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000F7E"/>
    <w:multiLevelType w:val="singleLevel"/>
    <w:tmpl w:val="E5000F7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zMzJkYTRmZTFhYjQ2MTk5YzY2Mzg5OGZlODBjMGYifQ=="/>
  </w:docVars>
  <w:rsids>
    <w:rsidRoot w:val="10035AB4"/>
    <w:rsid w:val="10035AB4"/>
    <w:rsid w:val="21D25F45"/>
    <w:rsid w:val="42291CF5"/>
    <w:rsid w:val="4CEB0613"/>
    <w:rsid w:val="641F480A"/>
    <w:rsid w:val="6A99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toc 1"/>
    <w:basedOn w:val="1"/>
    <w:next w:val="1"/>
    <w:unhideWhenUsed/>
    <w:qFormat/>
    <w:uiPriority w:val="39"/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No Spacing"/>
    <w:qFormat/>
    <w:uiPriority w:val="1"/>
    <w:pPr>
      <w:widowControl w:val="0"/>
      <w:spacing w:line="5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2936</Words>
  <Characters>3020</Characters>
  <Lines>0</Lines>
  <Paragraphs>0</Paragraphs>
  <TotalTime>1</TotalTime>
  <ScaleCrop>false</ScaleCrop>
  <LinksUpToDate>false</LinksUpToDate>
  <CharactersWithSpaces>3063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2022-04-24T02:25:00Z</dcterms:created>
  <dc:creator>Administrator</dc:creator>
  <cp:lastModifiedBy>可乐</cp:lastModifiedBy>
  <dcterms:modified xsi:type="dcterms:W3CDTF">2022-05-10T09:05:07Z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BFC88AFBDD224D3387C31143DD13F2E2</vt:lpwstr>
  </property>
</Properties>
</file>