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color w:val="FF0000"/>
          <w:sz w:val="44"/>
          <w:szCs w:val="44"/>
        </w:rPr>
        <w:t>南县立达中学</w:t>
      </w:r>
      <w:r>
        <w:rPr>
          <w:rFonts w:hint="eastAsia" w:asciiTheme="minorEastAsia" w:hAnsiTheme="minorEastAsia" w:eastAsiaTheme="minorEastAsia" w:cstheme="minorEastAsia"/>
          <w:b/>
          <w:bCs/>
          <w:sz w:val="44"/>
          <w:szCs w:val="44"/>
        </w:rPr>
        <w:t>2020年度预算绩效自评</w:t>
      </w:r>
    </w:p>
    <w:p>
      <w:pPr>
        <w:spacing w:line="600" w:lineRule="exact"/>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工 作 报 告</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r>
        <w:rPr>
          <w:rFonts w:hint="eastAsia" w:ascii="仿宋" w:hAnsi="仿宋" w:eastAsia="仿宋" w:cs="仿宋"/>
          <w:sz w:val="32"/>
          <w:szCs w:val="32"/>
        </w:rPr>
        <w:t xml:space="preserve">    按照《中共湖南省委办公厅 湖南省人民政府办公厅关于全面实施预算绩效管理的实施意见》（湘办发〔2019〕10号）和《南县财政局关于做好2020年度预算绩效自评工作的通知》（南财绩函〔2021〕6号）等文件精神要求，为进一步规范财政资金管理，牢固树立预算绩效理念，切实提高财政资金使用效益，我单位成立了以财务分管领导</w:t>
      </w:r>
      <w:r>
        <w:rPr>
          <w:rFonts w:hint="eastAsia" w:ascii="仿宋" w:hAnsi="仿宋" w:eastAsia="仿宋" w:cs="仿宋"/>
          <w:color w:val="FF0000"/>
          <w:sz w:val="32"/>
          <w:szCs w:val="32"/>
        </w:rPr>
        <w:t>汪志明</w:t>
      </w:r>
      <w:r>
        <w:rPr>
          <w:rFonts w:hint="eastAsia" w:ascii="仿宋" w:hAnsi="仿宋" w:eastAsia="仿宋" w:cs="仿宋"/>
          <w:sz w:val="32"/>
          <w:szCs w:val="32"/>
        </w:rPr>
        <w:t>同志为组长的预算绩效自评工作小组，参照有关财政支出绩效评价指标体系，认真组织对2020年度县财政预算批复资金进行自查考评，现将有关情况报告如下：</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一、基本情况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南县立达中学下设校长室、办公室、党建办、监察室、教务处、德育处、总务处、教科室、团委、工会、初中部、高中部，在编在岗教师368人。长期临时工29人；退休人员123人；遗属人员8人。</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（一）部门整体支出概况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2020年部门决算收支完成情况。</w:t>
      </w:r>
    </w:p>
    <w:p>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收入：</w:t>
      </w:r>
      <w:r>
        <w:rPr>
          <w:rFonts w:hint="eastAsia" w:ascii="仿宋" w:hAnsi="仿宋" w:eastAsia="仿宋" w:cs="仿宋"/>
          <w:color w:val="FF0000"/>
          <w:sz w:val="32"/>
          <w:szCs w:val="32"/>
        </w:rPr>
        <w:t>6877.12</w:t>
      </w:r>
      <w:r>
        <w:rPr>
          <w:rFonts w:hint="eastAsia" w:ascii="仿宋" w:hAnsi="仿宋" w:eastAsia="仿宋" w:cs="仿宋"/>
          <w:sz w:val="32"/>
          <w:szCs w:val="32"/>
        </w:rPr>
        <w:t>万元。同比上年度</w:t>
      </w:r>
      <w:r>
        <w:rPr>
          <w:rFonts w:hint="eastAsia" w:ascii="仿宋" w:hAnsi="仿宋" w:eastAsia="仿宋" w:cs="仿宋"/>
          <w:color w:val="FF0000"/>
          <w:sz w:val="32"/>
          <w:szCs w:val="32"/>
        </w:rPr>
        <w:t>7444.15</w:t>
      </w:r>
      <w:r>
        <w:rPr>
          <w:rFonts w:hint="eastAsia" w:ascii="仿宋" w:hAnsi="仿宋" w:eastAsia="仿宋" w:cs="仿宋"/>
          <w:sz w:val="32"/>
          <w:szCs w:val="32"/>
        </w:rPr>
        <w:t>万元减少</w:t>
      </w:r>
      <w:r>
        <w:rPr>
          <w:rFonts w:hint="eastAsia" w:ascii="仿宋" w:hAnsi="仿宋" w:eastAsia="仿宋" w:cs="仿宋"/>
          <w:color w:val="FF0000"/>
          <w:sz w:val="32"/>
          <w:szCs w:val="32"/>
        </w:rPr>
        <w:t>567.03</w:t>
      </w:r>
      <w:r>
        <w:rPr>
          <w:rFonts w:hint="eastAsia" w:ascii="仿宋" w:hAnsi="仿宋" w:eastAsia="仿宋" w:cs="仿宋"/>
          <w:sz w:val="32"/>
          <w:szCs w:val="32"/>
        </w:rPr>
        <w:t>万元，减少</w:t>
      </w:r>
      <w:r>
        <w:rPr>
          <w:rFonts w:hint="eastAsia" w:ascii="仿宋" w:hAnsi="仿宋" w:eastAsia="仿宋" w:cs="仿宋"/>
          <w:color w:val="FF0000"/>
          <w:sz w:val="32"/>
          <w:szCs w:val="32"/>
        </w:rPr>
        <w:t>7.62</w:t>
      </w:r>
      <w:r>
        <w:rPr>
          <w:rFonts w:hint="eastAsia" w:ascii="仿宋" w:hAnsi="仿宋" w:eastAsia="仿宋" w:cs="仿宋"/>
          <w:sz w:val="32"/>
          <w:szCs w:val="32"/>
        </w:rPr>
        <w:t>％。其中：财政拨款收入</w:t>
      </w:r>
      <w:r>
        <w:rPr>
          <w:rFonts w:hint="eastAsia" w:ascii="仿宋" w:hAnsi="仿宋" w:eastAsia="仿宋" w:cs="仿宋"/>
          <w:color w:val="FF0000"/>
          <w:sz w:val="32"/>
          <w:szCs w:val="32"/>
        </w:rPr>
        <w:t>6686.76</w:t>
      </w:r>
      <w:r>
        <w:rPr>
          <w:rFonts w:hint="eastAsia" w:ascii="仿宋" w:hAnsi="仿宋" w:eastAsia="仿宋" w:cs="仿宋"/>
          <w:sz w:val="32"/>
          <w:szCs w:val="32"/>
        </w:rPr>
        <w:t>万元,同比上年度</w:t>
      </w:r>
      <w:r>
        <w:rPr>
          <w:rFonts w:hint="eastAsia" w:ascii="仿宋" w:hAnsi="仿宋" w:eastAsia="仿宋" w:cs="仿宋"/>
          <w:color w:val="FF0000"/>
          <w:sz w:val="32"/>
          <w:szCs w:val="32"/>
        </w:rPr>
        <w:t>7027.89</w:t>
      </w:r>
      <w:r>
        <w:rPr>
          <w:rFonts w:hint="eastAsia" w:ascii="仿宋" w:hAnsi="仿宋" w:eastAsia="仿宋" w:cs="仿宋"/>
          <w:sz w:val="32"/>
          <w:szCs w:val="32"/>
        </w:rPr>
        <w:t>万元减少</w:t>
      </w:r>
      <w:r>
        <w:rPr>
          <w:rFonts w:hint="eastAsia" w:ascii="仿宋" w:hAnsi="仿宋" w:eastAsia="仿宋" w:cs="仿宋"/>
          <w:color w:val="FF0000"/>
          <w:sz w:val="32"/>
          <w:szCs w:val="32"/>
        </w:rPr>
        <w:t>341.13</w:t>
      </w:r>
      <w:r>
        <w:rPr>
          <w:rFonts w:hint="eastAsia" w:ascii="仿宋" w:hAnsi="仿宋" w:eastAsia="仿宋" w:cs="仿宋"/>
          <w:sz w:val="32"/>
          <w:szCs w:val="32"/>
        </w:rPr>
        <w:t>万元，减少4.85％。其他收入</w:t>
      </w:r>
      <w:r>
        <w:rPr>
          <w:rFonts w:hint="eastAsia" w:ascii="仿宋" w:hAnsi="仿宋" w:eastAsia="仿宋" w:cs="仿宋"/>
          <w:color w:val="FF0000"/>
          <w:sz w:val="32"/>
          <w:szCs w:val="32"/>
        </w:rPr>
        <w:t>190.36</w:t>
      </w:r>
      <w:r>
        <w:rPr>
          <w:rFonts w:hint="eastAsia" w:ascii="仿宋" w:hAnsi="仿宋" w:eastAsia="仿宋" w:cs="仿宋"/>
          <w:sz w:val="32"/>
          <w:szCs w:val="32"/>
        </w:rPr>
        <w:t>万元，同比上年度</w:t>
      </w:r>
      <w:r>
        <w:rPr>
          <w:rFonts w:hint="eastAsia" w:ascii="仿宋" w:hAnsi="仿宋" w:eastAsia="仿宋" w:cs="仿宋"/>
          <w:color w:val="FF0000"/>
          <w:sz w:val="32"/>
          <w:szCs w:val="32"/>
        </w:rPr>
        <w:t>395.76</w:t>
      </w:r>
      <w:r>
        <w:rPr>
          <w:rFonts w:hint="eastAsia" w:ascii="仿宋" w:hAnsi="仿宋" w:eastAsia="仿宋" w:cs="仿宋"/>
          <w:sz w:val="32"/>
          <w:szCs w:val="32"/>
        </w:rPr>
        <w:t>万元</w:t>
      </w:r>
      <w:r>
        <w:rPr>
          <w:rFonts w:hint="eastAsia" w:ascii="仿宋" w:hAnsi="仿宋" w:eastAsia="仿宋" w:cs="仿宋"/>
          <w:color w:val="FF0000"/>
          <w:sz w:val="32"/>
          <w:szCs w:val="32"/>
        </w:rPr>
        <w:t>减少205.40</w:t>
      </w:r>
      <w:r>
        <w:rPr>
          <w:rFonts w:hint="eastAsia" w:ascii="仿宋" w:hAnsi="仿宋" w:eastAsia="仿宋" w:cs="仿宋"/>
          <w:sz w:val="32"/>
          <w:szCs w:val="32"/>
        </w:rPr>
        <w:t>万元，减少51.9％。主要是课后服务费未计入其他收入</w:t>
      </w:r>
      <w:r>
        <w:rPr>
          <w:rFonts w:hint="eastAsia" w:ascii="仿宋" w:hAnsi="仿宋" w:eastAsia="仿宋" w:cs="仿宋"/>
          <w:color w:val="FF0000"/>
          <w:sz w:val="32"/>
          <w:szCs w:val="32"/>
        </w:rPr>
        <w:t>。</w:t>
      </w:r>
    </w:p>
    <w:p>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支出：</w:t>
      </w:r>
      <w:r>
        <w:rPr>
          <w:rFonts w:hint="eastAsia" w:ascii="仿宋" w:hAnsi="仿宋" w:eastAsia="仿宋" w:cs="仿宋"/>
          <w:color w:val="FF0000"/>
          <w:sz w:val="32"/>
          <w:szCs w:val="32"/>
        </w:rPr>
        <w:t>6840.81</w:t>
      </w:r>
      <w:r>
        <w:rPr>
          <w:rFonts w:hint="eastAsia" w:ascii="仿宋" w:hAnsi="仿宋" w:eastAsia="仿宋" w:cs="仿宋"/>
          <w:sz w:val="32"/>
          <w:szCs w:val="32"/>
        </w:rPr>
        <w:t>万元，同比上年</w:t>
      </w:r>
      <w:r>
        <w:rPr>
          <w:rFonts w:hint="eastAsia" w:ascii="仿宋" w:hAnsi="仿宋" w:eastAsia="仿宋" w:cs="仿宋"/>
          <w:color w:val="FF0000"/>
          <w:sz w:val="32"/>
          <w:szCs w:val="32"/>
        </w:rPr>
        <w:t>7444.07</w:t>
      </w:r>
      <w:r>
        <w:rPr>
          <w:rFonts w:hint="eastAsia" w:ascii="仿宋" w:hAnsi="仿宋" w:eastAsia="仿宋" w:cs="仿宋"/>
          <w:sz w:val="32"/>
          <w:szCs w:val="32"/>
        </w:rPr>
        <w:t>万元减少</w:t>
      </w:r>
      <w:r>
        <w:rPr>
          <w:rFonts w:hint="eastAsia" w:ascii="仿宋" w:hAnsi="仿宋" w:eastAsia="仿宋" w:cs="仿宋"/>
          <w:color w:val="FF0000"/>
          <w:sz w:val="32"/>
          <w:szCs w:val="32"/>
        </w:rPr>
        <w:t>603.27</w:t>
      </w:r>
      <w:r>
        <w:rPr>
          <w:rFonts w:hint="eastAsia" w:ascii="仿宋" w:hAnsi="仿宋" w:eastAsia="仿宋" w:cs="仿宋"/>
          <w:sz w:val="32"/>
          <w:szCs w:val="32"/>
        </w:rPr>
        <w:t>万元，减少</w:t>
      </w:r>
      <w:r>
        <w:rPr>
          <w:rFonts w:hint="eastAsia" w:ascii="仿宋" w:hAnsi="仿宋" w:eastAsia="仿宋" w:cs="仿宋"/>
          <w:color w:val="FF0000"/>
          <w:sz w:val="32"/>
          <w:szCs w:val="32"/>
        </w:rPr>
        <w:t>8.10</w:t>
      </w:r>
      <w:r>
        <w:rPr>
          <w:rFonts w:hint="eastAsia" w:ascii="仿宋" w:hAnsi="仿宋" w:eastAsia="仿宋" w:cs="仿宋"/>
          <w:sz w:val="32"/>
          <w:szCs w:val="32"/>
        </w:rPr>
        <w:t>％。减少部分主要是</w:t>
      </w:r>
      <w:r>
        <w:rPr>
          <w:rFonts w:hint="eastAsia" w:ascii="仿宋" w:hAnsi="仿宋" w:eastAsia="仿宋" w:cs="仿宋"/>
          <w:color w:val="FF0000"/>
          <w:sz w:val="32"/>
          <w:szCs w:val="32"/>
        </w:rPr>
        <w:t>人员异动，工资、津补贴提标。</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（二）部门整体支出绩效目标</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在县局年度考评中，我校被评为教育质量先进单位，益阳市文明校园，益阳市禁毒工作先进单位，益阳市“五爱教育”党建+优秀案例，益阳市优秀考点；学校还多次在省市县有关活动中获奖。</w:t>
      </w:r>
      <w:r>
        <w:rPr>
          <w:rFonts w:hint="eastAsia" w:ascii="仿宋_GB2312" w:eastAsia="仿宋_GB2312"/>
          <w:sz w:val="32"/>
          <w:szCs w:val="32"/>
        </w:rPr>
        <w:t>教育环境风清气正，教育氛围劲足心齐，发展态势持续向好。</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（三）部门整体支出情况分析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2020年度财政预算资金合计</w:t>
      </w:r>
      <w:r>
        <w:rPr>
          <w:rFonts w:hint="eastAsia" w:ascii="仿宋" w:hAnsi="仿宋" w:eastAsia="仿宋" w:cs="仿宋"/>
          <w:color w:val="FF0000"/>
          <w:sz w:val="32"/>
          <w:szCs w:val="32"/>
        </w:rPr>
        <w:t>6686.76</w:t>
      </w:r>
      <w:r>
        <w:rPr>
          <w:rFonts w:hint="eastAsia" w:ascii="仿宋" w:hAnsi="仿宋" w:eastAsia="仿宋" w:cs="仿宋"/>
          <w:sz w:val="32"/>
          <w:szCs w:val="32"/>
        </w:rPr>
        <w:t>万元，2020年12月全部拨付到位，我单位根据年初预算编制及时制定实施计划组织实施。严格按照年初预算进行部门整体支出。在支出过程中，严格遵守各项规章制度，严格控制公务接待和公务用车费用的支出。尤其是在专项经费支出上，我们力争做到专款专用，按项目实施计划的进度情况进行资金分配，无挪用专项经费的现象。实行了先有预算、后有执行、“用钱必问效、无效必问责”的新常态。</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二、绩效评价工作情况</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（一）绩效评价目的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此次绩效评价的目的是：严格落实《预算法》及省、市、县绩效管理工作的有关规定，进一步规范财政资金的管理，强化财政支出绩效理念，提升部门责任意识，提高资金使用效益，促进科协事业又好又快的发展。</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（二）绩效评价的工作过程</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绩效评价的要求，我们成立了自评工作领导小组，对照自评方案进行研究和布署，党组成员及财务人员全程参与，按照自评方案的要求，对照各实施项目的内容逐条逐项自评。在自评过程发现问题，查找原因，及时纠正偏差，为下一步工作夯实基础。</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三、主要绩效及评价结论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（一）经济性效益分析：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争取上级专项资金200余万元，</w:t>
      </w:r>
      <w:r>
        <w:rPr>
          <w:rFonts w:hint="eastAsia" w:ascii="仿宋_GB2312" w:hAnsi="仿宋" w:eastAsia="仿宋_GB2312" w:cs="仿宋"/>
          <w:sz w:val="32"/>
          <w:szCs w:val="32"/>
        </w:rPr>
        <w:t>启动学校建设维修项目3个，新建了学校南校门、小车停车坪，维修改造综合教学楼屋面和男生宿舍，全面消除了安全隐患，保证了正常的教学教育，学校校容校貌焕然一新</w:t>
      </w:r>
      <w:r>
        <w:rPr>
          <w:rFonts w:hint="eastAsia" w:ascii="仿宋_GB2312" w:hAnsi="仿宋_GB2312" w:eastAsia="仿宋_GB2312" w:cs="仿宋_GB2312"/>
          <w:sz w:val="32"/>
          <w:szCs w:val="32"/>
        </w:rPr>
        <w:t>。</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（二）社会性效益分析</w:t>
      </w:r>
    </w:p>
    <w:p>
      <w:pPr>
        <w:pStyle w:val="5"/>
        <w:shd w:val="clear" w:color="auto" w:fill="FFFFFF"/>
        <w:spacing w:before="0" w:beforeAutospacing="0" w:after="0" w:afterAutospacing="0" w:line="480" w:lineRule="auto"/>
        <w:ind w:firstLine="480"/>
        <w:jc w:val="both"/>
        <w:rPr>
          <w:rFonts w:hint="eastAsia" w:ascii="仿宋_GB2312" w:hAnsi="仿宋" w:eastAsia="仿宋_GB2312" w:cs="仿宋"/>
          <w:kern w:val="2"/>
          <w:sz w:val="32"/>
          <w:szCs w:val="32"/>
        </w:rPr>
      </w:pPr>
      <w:r>
        <w:rPr>
          <w:rFonts w:hint="eastAsia" w:ascii="仿宋" w:hAnsi="仿宋" w:eastAsia="仿宋" w:cs="仿宋"/>
          <w:sz w:val="32"/>
          <w:szCs w:val="32"/>
        </w:rPr>
        <w:t>1.</w:t>
      </w:r>
      <w:r>
        <w:rPr>
          <w:rFonts w:hint="eastAsia" w:ascii="仿宋_GB2312" w:hAnsi="仿宋_GB2312" w:eastAsia="仿宋_GB2312" w:cs="仿宋_GB2312"/>
          <w:b/>
          <w:bCs/>
          <w:sz w:val="32"/>
          <w:szCs w:val="32"/>
        </w:rPr>
        <w:t>党建工作创佳绩 ，</w:t>
      </w:r>
      <w:r>
        <w:rPr>
          <w:rFonts w:hint="eastAsia" w:ascii="仿宋_GB2312" w:hAnsi="仿宋" w:eastAsia="仿宋_GB2312" w:cs="仿宋"/>
          <w:kern w:val="2"/>
          <w:sz w:val="32"/>
          <w:szCs w:val="32"/>
        </w:rPr>
        <w:t>加强了党建活动与学校实际工作相结合，在工作生活中开展亮身份的示范活动，发挥党员先锋作用。号召让党旗高高飘扬在教学岗位上，发挥教学示范引领作用。提出了四点工作要求：一是筑牢信念，强化责任担当，提升平口教育；二是求真务实，围绕中心抓党建；三是改革创新，优化党建方式；四是创先争优，永葆党员先进性。</w:t>
      </w:r>
    </w:p>
    <w:p>
      <w:pPr>
        <w:spacing w:line="600" w:lineRule="exact"/>
        <w:rPr>
          <w:rFonts w:ascii="仿宋_GB2312" w:hAnsi="仿宋_GB2312" w:eastAsia="仿宋_GB2312" w:cs="仿宋_GB2312"/>
          <w:snapToGrid w:val="0"/>
          <w:kern w:val="0"/>
          <w:sz w:val="32"/>
          <w:szCs w:val="32"/>
          <w:lang w:val="zh-CN"/>
        </w:rPr>
      </w:pPr>
      <w:r>
        <w:rPr>
          <w:rFonts w:hint="eastAsia" w:ascii="仿宋_GB2312" w:hAnsi="仿宋" w:eastAsia="仿宋_GB2312" w:cs="仿宋"/>
          <w:sz w:val="32"/>
          <w:szCs w:val="32"/>
        </w:rPr>
        <w:t>充分发挥了党支部的战斗堡垒作用和党员的先锋模范作用，年度党建工作总结表彰大会获优秀单位。</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2.校容校貌大有改观。</w:t>
      </w:r>
      <w:r>
        <w:rPr>
          <w:rFonts w:hint="eastAsia" w:ascii="仿宋_GB2312" w:hAnsi="仿宋_GB2312" w:eastAsia="仿宋_GB2312" w:cs="仿宋_GB2312"/>
          <w:sz w:val="32"/>
          <w:szCs w:val="32"/>
        </w:rPr>
        <w:t>通过争取上级主管部门资金，同时加大学校自用经费对校容校貌改造的投入，新校门的建设使用，校内建筑的维修和美化，校园绿化面积的增加，这一系列的措施使得学校面貌焕然一新。</w:t>
      </w:r>
    </w:p>
    <w:p>
      <w:pPr>
        <w:spacing w:line="53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3.精准帮扶，</w:t>
      </w:r>
      <w:r>
        <w:rPr>
          <w:rFonts w:hint="eastAsia" w:ascii="仿宋_GB2312" w:hAnsi="仿宋_GB2312" w:eastAsia="仿宋_GB2312" w:cs="仿宋_GB2312"/>
          <w:sz w:val="32"/>
          <w:szCs w:val="32"/>
        </w:rPr>
        <w:t>资助各级各类贫困学子 511  人次，发放资助金 58.1  万元， 146  名建档立卡户子女应助尽助、无一人失学辍学，为12 人办理助学贷款 6 万元，筹集 3 万元走访慰问离退休教师和特困教师。</w:t>
      </w:r>
    </w:p>
    <w:p>
      <w:pPr>
        <w:spacing w:line="53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
          <w:bCs/>
          <w:sz w:val="32"/>
          <w:szCs w:val="32"/>
        </w:rPr>
        <w:t>特色发展，</w:t>
      </w:r>
      <w:r>
        <w:rPr>
          <w:rFonts w:hint="eastAsia" w:ascii="仿宋_GB2312" w:hAnsi="仿宋_GB2312" w:eastAsia="仿宋_GB2312" w:cs="仿宋_GB2312"/>
          <w:sz w:val="32"/>
          <w:szCs w:val="32"/>
        </w:rPr>
        <w:t>校园文化、德育、音乐、体育、美术、摔蹂跆和传媒等特色全面发展，</w:t>
      </w:r>
      <w:r>
        <w:rPr>
          <w:rFonts w:hint="eastAsia" w:ascii="仿宋_GB2312" w:hAnsi="仿宋_GB2312" w:eastAsia="仿宋_GB2312" w:cs="仿宋_GB2312"/>
          <w:kern w:val="1"/>
          <w:sz w:val="32"/>
          <w:szCs w:val="32"/>
        </w:rPr>
        <w:t>省建制班合唱获一等奖，成功</w:t>
      </w:r>
      <w:r>
        <w:rPr>
          <w:rFonts w:hint="eastAsia" w:ascii="仿宋_GB2312" w:hAnsi="仿宋_GB2312" w:eastAsia="仿宋_GB2312" w:cs="仿宋_GB2312"/>
          <w:bCs/>
          <w:sz w:val="32"/>
          <w:szCs w:val="32"/>
        </w:rPr>
        <w:t>承办县运动会部分项目</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艺术节集中展演我校贡献两个节目，县运会获初中组团体总分第一名，高中组团体总分第二名。获评市级文明校园。</w:t>
      </w:r>
    </w:p>
    <w:p>
      <w:pPr>
        <w:pStyle w:val="2"/>
        <w:ind w:firstLine="640" w:firstLineChars="200"/>
        <w:rPr>
          <w:rFonts w:eastAsia="仿宋_GB2312"/>
        </w:rPr>
      </w:pPr>
      <w:r>
        <w:rPr>
          <w:rFonts w:hint="eastAsia" w:ascii="仿宋_GB2312" w:hAnsi="仿宋_GB2312" w:eastAsia="仿宋_GB2312" w:cs="仿宋_GB2312"/>
          <w:sz w:val="32"/>
          <w:szCs w:val="32"/>
        </w:rPr>
        <w:t>5.</w:t>
      </w:r>
      <w:r>
        <w:rPr>
          <w:rFonts w:hint="eastAsia" w:ascii="仿宋_GB2312" w:hAnsi="仿宋_GB2312" w:eastAsia="仿宋_GB2312" w:cs="仿宋_GB2312"/>
          <w:b/>
          <w:sz w:val="32"/>
          <w:szCs w:val="32"/>
        </w:rPr>
        <w:t>疫情防控零失误。</w:t>
      </w:r>
      <w:r>
        <w:rPr>
          <w:rFonts w:hint="eastAsia" w:ascii="仿宋_GB2312" w:hAnsi="仿宋_GB2312" w:eastAsia="仿宋_GB2312" w:cs="仿宋_GB2312"/>
          <w:sz w:val="32"/>
          <w:szCs w:val="32"/>
        </w:rPr>
        <w:t>根据上级文件、编制预案，学校突出“线管、区防、纵联”，抓实“日登记、日巡查、日报告”，</w:t>
      </w:r>
      <w:r>
        <w:rPr>
          <w:rFonts w:hint="eastAsia" w:ascii="仿宋_GB2312" w:hAnsi="仿宋_GB2312" w:eastAsia="仿宋_GB2312" w:cs="仿宋_GB2312"/>
          <w:kern w:val="0"/>
          <w:sz w:val="32"/>
          <w:szCs w:val="32"/>
        </w:rPr>
        <w:t>按照“两案九制”</w:t>
      </w:r>
      <w:r>
        <w:rPr>
          <w:rFonts w:hint="eastAsia" w:ascii="仿宋_GB2312" w:hAnsi="仿宋_GB2312" w:eastAsia="仿宋_GB2312" w:cs="仿宋_GB2312"/>
          <w:sz w:val="32"/>
          <w:szCs w:val="32"/>
        </w:rPr>
        <w:t>做实疫情防控各项工作，实现全校近4000师生新冠肺炎零感染、防控零失误。</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（三）环境性效益分析：</w:t>
      </w:r>
    </w:p>
    <w:p>
      <w:pPr>
        <w:spacing w:line="60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通过环境保护和垃圾分类知识宣传，倡导全民养成低碳、节能减排的科学生活方式；注重绿色环保、生态种养、要金山银山，更要青山绿水。</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（四）可持续性影响分析：</w:t>
      </w:r>
    </w:p>
    <w:p>
      <w:pPr>
        <w:spacing w:line="60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通过一系列教育教学工作的开展，为上一级学校输送了大批优秀毕业生，积极推动科技创新，从而为南县经济发展提供智力支持</w:t>
      </w:r>
    </w:p>
    <w:p>
      <w:pPr>
        <w:pStyle w:val="2"/>
        <w:numPr>
          <w:ilvl w:val="0"/>
          <w:numId w:val="2"/>
        </w:numPr>
        <w:spacing w:line="600" w:lineRule="exact"/>
        <w:rPr>
          <w:rFonts w:ascii="仿宋" w:hAnsi="仿宋" w:eastAsia="仿宋" w:cs="仿宋"/>
          <w:b/>
          <w:bCs/>
          <w:sz w:val="32"/>
          <w:szCs w:val="32"/>
        </w:rPr>
      </w:pPr>
      <w:r>
        <w:rPr>
          <w:rFonts w:hint="eastAsia" w:ascii="仿宋" w:hAnsi="仿宋" w:eastAsia="仿宋" w:cs="仿宋"/>
          <w:b/>
          <w:bCs/>
          <w:sz w:val="32"/>
          <w:szCs w:val="32"/>
        </w:rPr>
        <w:t>存在的问题</w:t>
      </w:r>
    </w:p>
    <w:p>
      <w:pPr>
        <w:pStyle w:val="9"/>
        <w:spacing w:line="600" w:lineRule="exact"/>
        <w:ind w:left="640" w:leftChars="305" w:firstLine="640"/>
        <w:rPr>
          <w:rFonts w:ascii="仿宋" w:hAnsi="仿宋" w:eastAsia="仿宋" w:cs="仿宋"/>
          <w:sz w:val="32"/>
          <w:szCs w:val="32"/>
        </w:rPr>
      </w:pPr>
      <w:r>
        <w:rPr>
          <w:rFonts w:hint="eastAsia" w:ascii="仿宋_GB2312" w:hAnsi="仿宋_GB2312" w:eastAsia="仿宋_GB2312" w:cs="仿宋_GB2312"/>
          <w:sz w:val="32"/>
          <w:szCs w:val="32"/>
        </w:rPr>
        <w:t>一是优质资源总量不足，教学质量不够高。二是教师队伍管理亟待加强，部分学科存在教师结构性缺编现象，亟待引进补充，少数教师师德表现、工作态度和敬业精神与基本要求有差距。三是教育改革难度较大。如教师非教学任务过多、学生课业负担重；新高考下硬件、师资、课程改革难；资源配置不均，教师工作量不均衡等问题。四是学校安全隐患仍然较多，特别是安全管控压力较大。</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五、有关建议 </w:t>
      </w:r>
    </w:p>
    <w:p>
      <w:pPr>
        <w:spacing w:line="60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财政部门根据教育实际情况，适当增加预算。</w:t>
      </w:r>
    </w:p>
    <w:p>
      <w:pPr>
        <w:numPr>
          <w:ilvl w:val="0"/>
          <w:numId w:val="3"/>
        </w:num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其他需要说明的问题：无</w:t>
      </w:r>
    </w:p>
    <w:p>
      <w:pPr>
        <w:spacing w:line="600" w:lineRule="exact"/>
        <w:jc w:val="right"/>
        <w:rPr>
          <w:rFonts w:ascii="仿宋" w:hAnsi="仿宋" w:eastAsia="仿宋" w:cs="仿宋"/>
          <w:sz w:val="32"/>
          <w:szCs w:val="32"/>
        </w:rPr>
      </w:pPr>
      <w:r>
        <w:rPr>
          <w:rFonts w:hint="eastAsia" w:ascii="仿宋" w:hAnsi="仿宋" w:eastAsia="仿宋" w:cs="仿宋"/>
          <w:color w:val="FF0000"/>
          <w:sz w:val="32"/>
          <w:szCs w:val="32"/>
        </w:rPr>
        <w:t>南县立达中学</w:t>
      </w:r>
    </w:p>
    <w:p>
      <w:pPr>
        <w:spacing w:line="600" w:lineRule="exact"/>
        <w:jc w:val="right"/>
      </w:pPr>
      <w:r>
        <w:rPr>
          <w:rFonts w:hint="eastAsia" w:ascii="仿宋" w:hAnsi="仿宋" w:eastAsia="仿宋" w:cs="仿宋"/>
          <w:sz w:val="32"/>
          <w:szCs w:val="32"/>
        </w:rPr>
        <w:t>2022年2月23日</w:t>
      </w:r>
    </w:p>
    <w:p>
      <w:pPr>
        <w:spacing w:line="600" w:lineRule="exact"/>
        <w:ind w:firstLine="880"/>
        <w:jc w:val="center"/>
        <w:rPr>
          <w:rFonts w:hint="eastAsia" w:ascii="黑体" w:hAnsi="黑体" w:eastAsia="黑体" w:cs="黑体"/>
          <w:color w:val="000000"/>
          <w:sz w:val="36"/>
          <w:szCs w:val="36"/>
        </w:rPr>
      </w:pPr>
    </w:p>
    <w:p>
      <w:pPr>
        <w:spacing w:line="600" w:lineRule="exact"/>
        <w:ind w:firstLine="880"/>
        <w:jc w:val="center"/>
        <w:rPr>
          <w:rFonts w:hint="eastAsia" w:ascii="黑体" w:hAnsi="黑体" w:eastAsia="黑体" w:cs="黑体"/>
          <w:color w:val="000000"/>
          <w:sz w:val="36"/>
          <w:szCs w:val="36"/>
        </w:rPr>
      </w:pPr>
    </w:p>
    <w:p>
      <w:pPr>
        <w:spacing w:line="600" w:lineRule="exact"/>
        <w:ind w:firstLine="880"/>
        <w:jc w:val="center"/>
        <w:rPr>
          <w:rFonts w:hint="eastAsia" w:ascii="黑体" w:hAnsi="黑体" w:eastAsia="黑体" w:cs="黑体"/>
          <w:color w:val="000000"/>
          <w:sz w:val="36"/>
          <w:szCs w:val="36"/>
        </w:rPr>
      </w:pPr>
    </w:p>
    <w:p>
      <w:pPr>
        <w:pStyle w:val="2"/>
        <w:rPr>
          <w:rFonts w:hint="eastAsia" w:ascii="黑体" w:hAnsi="黑体" w:eastAsia="黑体" w:cs="黑体"/>
          <w:color w:val="000000"/>
          <w:sz w:val="36"/>
          <w:szCs w:val="36"/>
        </w:rPr>
      </w:pPr>
    </w:p>
    <w:p>
      <w:pPr>
        <w:rPr>
          <w:rFonts w:hint="eastAsia" w:eastAsia="黑体"/>
          <w:lang w:eastAsia="zh-CN"/>
        </w:rPr>
      </w:pPr>
      <w:r>
        <w:rPr>
          <w:rFonts w:hint="eastAsia" w:ascii="黑体" w:hAnsi="黑体" w:eastAsia="黑体" w:cs="黑体"/>
          <w:color w:val="000000"/>
          <w:sz w:val="36"/>
          <w:szCs w:val="36"/>
          <w:lang w:eastAsia="zh-CN"/>
        </w:rPr>
        <w:t>附：</w:t>
      </w:r>
    </w:p>
    <w:p>
      <w:pPr>
        <w:spacing w:line="600" w:lineRule="exact"/>
        <w:ind w:firstLine="880"/>
        <w:jc w:val="center"/>
        <w:rPr>
          <w:rFonts w:hint="eastAsia" w:ascii="黑体" w:hAnsi="黑体" w:eastAsia="黑体" w:cs="黑体"/>
          <w:color w:val="000000"/>
          <w:sz w:val="36"/>
          <w:szCs w:val="36"/>
        </w:rPr>
      </w:pPr>
    </w:p>
    <w:p>
      <w:pPr>
        <w:spacing w:line="600" w:lineRule="exact"/>
        <w:ind w:firstLine="880"/>
        <w:jc w:val="center"/>
        <w:rPr>
          <w:rFonts w:hint="eastAsia" w:ascii="黑体" w:hAnsi="黑体" w:eastAsia="黑体" w:cs="黑体"/>
          <w:color w:val="000000"/>
          <w:sz w:val="36"/>
          <w:szCs w:val="36"/>
        </w:rPr>
      </w:pPr>
    </w:p>
    <w:p>
      <w:pPr>
        <w:jc w:val="center"/>
        <w:rPr>
          <w:rFonts w:ascii="黑体" w:eastAsia="黑体"/>
          <w:bCs/>
          <w:sz w:val="36"/>
          <w:szCs w:val="36"/>
        </w:rPr>
      </w:pPr>
      <w:r>
        <w:rPr>
          <w:rFonts w:hint="eastAsia" w:ascii="黑体" w:eastAsia="黑体"/>
          <w:bCs/>
          <w:sz w:val="36"/>
          <w:szCs w:val="36"/>
        </w:rPr>
        <w:t>南县立达中学</w:t>
      </w:r>
    </w:p>
    <w:p>
      <w:pPr>
        <w:jc w:val="center"/>
        <w:rPr>
          <w:rFonts w:ascii="黑体" w:eastAsia="黑体"/>
          <w:bCs/>
          <w:sz w:val="36"/>
          <w:szCs w:val="36"/>
        </w:rPr>
      </w:pPr>
      <w:r>
        <w:rPr>
          <w:rFonts w:hint="eastAsia" w:ascii="黑体" w:eastAsia="黑体"/>
          <w:bCs/>
          <w:sz w:val="36"/>
          <w:szCs w:val="36"/>
        </w:rPr>
        <w:t>202</w:t>
      </w:r>
      <w:r>
        <w:rPr>
          <w:rFonts w:hint="eastAsia" w:ascii="黑体" w:eastAsia="黑体"/>
          <w:bCs/>
          <w:sz w:val="36"/>
          <w:szCs w:val="36"/>
          <w:lang w:val="en-US" w:eastAsia="zh-CN"/>
        </w:rPr>
        <w:t>0</w:t>
      </w:r>
      <w:r>
        <w:rPr>
          <w:rFonts w:hint="eastAsia" w:ascii="黑体" w:eastAsia="黑体"/>
          <w:bCs/>
          <w:sz w:val="36"/>
          <w:szCs w:val="36"/>
        </w:rPr>
        <w:t>年部门整体支出绩效自评指标计分表</w:t>
      </w:r>
    </w:p>
    <w:p>
      <w:pPr>
        <w:spacing w:line="300" w:lineRule="exact"/>
        <w:rPr>
          <w:rFonts w:ascii="黑体" w:eastAsia="黑体"/>
          <w:szCs w:val="32"/>
        </w:rPr>
      </w:pPr>
    </w:p>
    <w:tbl>
      <w:tblPr>
        <w:tblStyle w:val="6"/>
        <w:tblW w:w="0" w:type="auto"/>
        <w:tblInd w:w="-306" w:type="dxa"/>
        <w:tblLayout w:type="fixed"/>
        <w:tblCellMar>
          <w:top w:w="0" w:type="dxa"/>
          <w:left w:w="0" w:type="dxa"/>
          <w:bottom w:w="0" w:type="dxa"/>
          <w:right w:w="0" w:type="dxa"/>
        </w:tblCellMar>
      </w:tblPr>
      <w:tblGrid>
        <w:gridCol w:w="474"/>
        <w:gridCol w:w="632"/>
        <w:gridCol w:w="632"/>
        <w:gridCol w:w="474"/>
        <w:gridCol w:w="2686"/>
        <w:gridCol w:w="4372"/>
      </w:tblGrid>
      <w:tr>
        <w:tblPrEx>
          <w:tblCellMar>
            <w:top w:w="0" w:type="dxa"/>
            <w:left w:w="0" w:type="dxa"/>
            <w:bottom w:w="0" w:type="dxa"/>
            <w:right w:w="0" w:type="dxa"/>
          </w:tblCellMar>
        </w:tblPrEx>
        <w:trPr>
          <w:trHeight w:val="567" w:hRule="atLeast"/>
          <w:tblHeader/>
        </w:trPr>
        <w:tc>
          <w:tcPr>
            <w:tcW w:w="474"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szCs w:val="21"/>
              </w:rPr>
            </w:pPr>
            <w:r>
              <w:rPr>
                <w:rFonts w:hint="eastAsia" w:ascii="黑体" w:hAnsi="黑体" w:eastAsia="黑体"/>
                <w:bCs/>
                <w:szCs w:val="21"/>
              </w:rPr>
              <w:t>一级</w:t>
            </w:r>
            <w:r>
              <w:rPr>
                <w:rFonts w:hint="eastAsia" w:ascii="黑体" w:hAnsi="黑体" w:eastAsia="黑体"/>
                <w:bCs/>
                <w:szCs w:val="21"/>
              </w:rPr>
              <w:br w:type="textWrapping"/>
            </w:r>
            <w:r>
              <w:rPr>
                <w:rFonts w:hint="eastAsia" w:ascii="黑体" w:hAnsi="黑体" w:eastAsia="黑体"/>
                <w:bCs/>
                <w:szCs w:val="21"/>
              </w:rPr>
              <w:t>指标</w:t>
            </w: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szCs w:val="21"/>
              </w:rPr>
            </w:pPr>
            <w:r>
              <w:rPr>
                <w:rFonts w:hint="eastAsia" w:ascii="黑体" w:hAnsi="黑体" w:eastAsia="黑体"/>
                <w:bCs/>
                <w:szCs w:val="21"/>
              </w:rPr>
              <w:t>二级指标</w:t>
            </w: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szCs w:val="21"/>
              </w:rPr>
            </w:pPr>
            <w:r>
              <w:rPr>
                <w:rFonts w:hint="eastAsia" w:ascii="黑体" w:hAnsi="黑体" w:eastAsia="黑体"/>
                <w:bCs/>
                <w:szCs w:val="21"/>
              </w:rPr>
              <w:t>三级  指标</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szCs w:val="21"/>
              </w:rPr>
            </w:pPr>
            <w:r>
              <w:rPr>
                <w:rFonts w:hint="eastAsia" w:ascii="黑体" w:hAnsi="黑体" w:eastAsia="黑体"/>
                <w:bCs/>
                <w:szCs w:val="21"/>
              </w:rPr>
              <w:t>自评分</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szCs w:val="21"/>
              </w:rPr>
            </w:pPr>
            <w:r>
              <w:rPr>
                <w:rFonts w:hint="eastAsia" w:ascii="黑体" w:hAnsi="黑体" w:eastAsia="黑体"/>
                <w:bCs/>
                <w:szCs w:val="21"/>
              </w:rPr>
              <w:t>指标解释</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szCs w:val="21"/>
              </w:rPr>
            </w:pPr>
            <w:r>
              <w:rPr>
                <w:rFonts w:hint="eastAsia" w:ascii="黑体" w:hAnsi="黑体" w:eastAsia="黑体"/>
                <w:bCs/>
                <w:szCs w:val="21"/>
              </w:rPr>
              <w:t>指标说明</w:t>
            </w:r>
          </w:p>
        </w:tc>
      </w:tr>
      <w:tr>
        <w:tblPrEx>
          <w:tblCellMar>
            <w:top w:w="0" w:type="dxa"/>
            <w:left w:w="0" w:type="dxa"/>
            <w:bottom w:w="0" w:type="dxa"/>
            <w:right w:w="0" w:type="dxa"/>
          </w:tblCellMar>
        </w:tblPrEx>
        <w:trPr>
          <w:trHeight w:val="1327" w:hRule="atLeast"/>
        </w:trPr>
        <w:tc>
          <w:tcPr>
            <w:tcW w:w="47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投   入（20分）</w:t>
            </w: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目标</w:t>
            </w:r>
            <w:r>
              <w:rPr>
                <w:rFonts w:hint="eastAsia" w:ascii="宋体" w:hAnsi="宋体"/>
                <w:sz w:val="18"/>
                <w:szCs w:val="18"/>
              </w:rPr>
              <w:br w:type="textWrapping"/>
            </w:r>
            <w:r>
              <w:rPr>
                <w:rFonts w:hint="eastAsia" w:ascii="宋体" w:hAnsi="宋体"/>
                <w:sz w:val="18"/>
                <w:szCs w:val="18"/>
              </w:rPr>
              <w:t>设定（5分）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绩效目标合理性（2分）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2</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1169"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绩效指标明确性（3分）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3</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1221"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预算</w:t>
            </w:r>
            <w:r>
              <w:rPr>
                <w:rFonts w:hint="eastAsia" w:ascii="宋体" w:hAnsi="宋体"/>
                <w:sz w:val="18"/>
                <w:szCs w:val="18"/>
              </w:rPr>
              <w:br w:type="textWrapping"/>
            </w:r>
            <w:r>
              <w:rPr>
                <w:rFonts w:hint="eastAsia" w:ascii="宋体" w:hAnsi="宋体"/>
                <w:sz w:val="18"/>
                <w:szCs w:val="18"/>
              </w:rPr>
              <w:t>配置（15分）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在职人员控制率（5分）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1453"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“三公经费”</w:t>
            </w:r>
          </w:p>
          <w:p>
            <w:pPr>
              <w:spacing w:line="240" w:lineRule="exact"/>
              <w:jc w:val="center"/>
              <w:rPr>
                <w:rFonts w:ascii="宋体" w:hAnsi="宋体"/>
                <w:sz w:val="18"/>
                <w:szCs w:val="18"/>
              </w:rPr>
            </w:pPr>
            <w:r>
              <w:rPr>
                <w:rFonts w:hint="eastAsia" w:ascii="宋体" w:hAnsi="宋体"/>
                <w:sz w:val="18"/>
                <w:szCs w:val="18"/>
              </w:rPr>
              <w:t>变动率（5分）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1447"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重点支出安排率（5分）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1179" w:hRule="atLeast"/>
        </w:trPr>
        <w:tc>
          <w:tcPr>
            <w:tcW w:w="47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过             程（30分）</w:t>
            </w: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预算</w:t>
            </w:r>
            <w:r>
              <w:rPr>
                <w:rFonts w:hint="eastAsia" w:ascii="宋体" w:hAnsi="宋体"/>
                <w:sz w:val="18"/>
                <w:szCs w:val="18"/>
              </w:rPr>
              <w:br w:type="textWrapping"/>
            </w:r>
            <w:r>
              <w:rPr>
                <w:rFonts w:hint="eastAsia" w:ascii="宋体" w:hAnsi="宋体"/>
                <w:sz w:val="18"/>
                <w:szCs w:val="18"/>
              </w:rPr>
              <w:t>执行</w:t>
            </w:r>
          </w:p>
          <w:p>
            <w:pPr>
              <w:spacing w:line="240" w:lineRule="exact"/>
              <w:jc w:val="center"/>
              <w:rPr>
                <w:rFonts w:ascii="宋体" w:hAnsi="宋体"/>
                <w:sz w:val="18"/>
                <w:szCs w:val="18"/>
              </w:rPr>
            </w:pPr>
            <w:r>
              <w:rPr>
                <w:rFonts w:hint="eastAsia" w:ascii="宋体" w:hAnsi="宋体"/>
                <w:sz w:val="18"/>
                <w:szCs w:val="18"/>
              </w:rPr>
              <w:t>（20分）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预算完成率（4分）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4</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1563"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预算调整率（2分）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1.5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2172"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支付进度率（2分）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2</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1142"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结转结余控制率（4分）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4</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1151"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公用经费</w:t>
            </w:r>
          </w:p>
          <w:p>
            <w:pPr>
              <w:spacing w:line="240" w:lineRule="exact"/>
              <w:jc w:val="center"/>
              <w:rPr>
                <w:rFonts w:ascii="宋体" w:hAnsi="宋体"/>
                <w:sz w:val="18"/>
                <w:szCs w:val="18"/>
              </w:rPr>
            </w:pPr>
            <w:r>
              <w:rPr>
                <w:rFonts w:hint="eastAsia" w:ascii="宋体" w:hAnsi="宋体"/>
                <w:sz w:val="18"/>
                <w:szCs w:val="18"/>
              </w:rPr>
              <w:t>控制率（2分）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2</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1161"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“三公经费”控制率（2分）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2</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1153"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政府采购</w:t>
            </w:r>
          </w:p>
          <w:p>
            <w:pPr>
              <w:spacing w:line="240" w:lineRule="exact"/>
              <w:jc w:val="center"/>
              <w:rPr>
                <w:rFonts w:ascii="宋体" w:hAnsi="宋体"/>
                <w:sz w:val="18"/>
                <w:szCs w:val="18"/>
              </w:rPr>
            </w:pPr>
            <w:r>
              <w:rPr>
                <w:rFonts w:hint="eastAsia" w:ascii="宋体" w:hAnsi="宋体"/>
                <w:sz w:val="18"/>
                <w:szCs w:val="18"/>
              </w:rPr>
              <w:t>执行率（4分）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4</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1455"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预算</w:t>
            </w:r>
          </w:p>
          <w:p>
            <w:pPr>
              <w:spacing w:line="240" w:lineRule="exact"/>
              <w:jc w:val="center"/>
              <w:rPr>
                <w:rFonts w:ascii="仿宋_GB2312"/>
                <w:szCs w:val="21"/>
              </w:rPr>
            </w:pPr>
            <w:r>
              <w:rPr>
                <w:rFonts w:hint="eastAsia" w:ascii="仿宋_GB2312"/>
                <w:szCs w:val="21"/>
              </w:rPr>
              <w:t>管理</w:t>
            </w:r>
          </w:p>
          <w:p>
            <w:pPr>
              <w:spacing w:line="240" w:lineRule="exact"/>
              <w:jc w:val="center"/>
              <w:rPr>
                <w:rFonts w:ascii="仿宋_GB2312"/>
                <w:szCs w:val="21"/>
              </w:rPr>
            </w:pPr>
            <w:r>
              <w:rPr>
                <w:rFonts w:hint="eastAsia" w:ascii="仿宋_GB2312"/>
                <w:szCs w:val="21"/>
              </w:rPr>
              <w:t>（5分）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管理制度</w:t>
            </w:r>
          </w:p>
          <w:p>
            <w:pPr>
              <w:spacing w:line="240" w:lineRule="exact"/>
              <w:jc w:val="center"/>
              <w:rPr>
                <w:rFonts w:ascii="宋体" w:hAnsi="宋体"/>
                <w:sz w:val="18"/>
                <w:szCs w:val="18"/>
              </w:rPr>
            </w:pPr>
            <w:r>
              <w:rPr>
                <w:rFonts w:hint="eastAsia" w:ascii="宋体" w:hAnsi="宋体"/>
                <w:sz w:val="18"/>
                <w:szCs w:val="18"/>
              </w:rPr>
              <w:t>健全性（2分）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1.5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1450"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资金使用</w:t>
            </w:r>
          </w:p>
          <w:p>
            <w:pPr>
              <w:spacing w:line="240" w:lineRule="exact"/>
              <w:jc w:val="center"/>
              <w:rPr>
                <w:rFonts w:ascii="宋体" w:hAnsi="宋体"/>
                <w:sz w:val="18"/>
                <w:szCs w:val="18"/>
              </w:rPr>
            </w:pPr>
            <w:r>
              <w:rPr>
                <w:rFonts w:hint="eastAsia" w:ascii="宋体" w:hAnsi="宋体"/>
                <w:sz w:val="18"/>
                <w:szCs w:val="18"/>
              </w:rPr>
              <w:t>合规性（1分）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0.8</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预决算信</w:t>
            </w:r>
          </w:p>
          <w:p>
            <w:pPr>
              <w:spacing w:line="240" w:lineRule="exact"/>
              <w:jc w:val="center"/>
              <w:rPr>
                <w:rFonts w:ascii="宋体" w:hAnsi="宋体"/>
                <w:sz w:val="18"/>
                <w:szCs w:val="18"/>
              </w:rPr>
            </w:pPr>
            <w:r>
              <w:rPr>
                <w:rFonts w:hint="eastAsia" w:ascii="宋体" w:hAnsi="宋体"/>
                <w:sz w:val="18"/>
                <w:szCs w:val="18"/>
              </w:rPr>
              <w:t>息公开性（1分）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1</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567"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基础信息</w:t>
            </w:r>
          </w:p>
          <w:p>
            <w:pPr>
              <w:spacing w:line="240" w:lineRule="exact"/>
              <w:jc w:val="center"/>
              <w:rPr>
                <w:rFonts w:ascii="宋体" w:hAnsi="宋体"/>
                <w:sz w:val="18"/>
                <w:szCs w:val="18"/>
              </w:rPr>
            </w:pPr>
            <w:r>
              <w:rPr>
                <w:rFonts w:hint="eastAsia" w:ascii="宋体" w:hAnsi="宋体"/>
                <w:sz w:val="18"/>
                <w:szCs w:val="18"/>
              </w:rPr>
              <w:t>完善性（1分）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1</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1326"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资产</w:t>
            </w:r>
            <w:r>
              <w:rPr>
                <w:rFonts w:hint="eastAsia" w:ascii="仿宋_GB2312"/>
                <w:szCs w:val="21"/>
              </w:rPr>
              <w:br w:type="textWrapping"/>
            </w:r>
            <w:r>
              <w:rPr>
                <w:rFonts w:hint="eastAsia" w:ascii="仿宋_GB2312"/>
                <w:szCs w:val="21"/>
              </w:rPr>
              <w:t>管理</w:t>
            </w:r>
          </w:p>
          <w:p>
            <w:pPr>
              <w:spacing w:line="240" w:lineRule="exact"/>
              <w:jc w:val="center"/>
              <w:rPr>
                <w:rFonts w:ascii="仿宋_GB2312"/>
                <w:szCs w:val="21"/>
              </w:rPr>
            </w:pPr>
            <w:r>
              <w:rPr>
                <w:rFonts w:hint="eastAsia" w:ascii="仿宋_GB2312"/>
                <w:szCs w:val="21"/>
              </w:rPr>
              <w:t>（5分）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管理制度</w:t>
            </w:r>
          </w:p>
          <w:p>
            <w:pPr>
              <w:spacing w:line="240" w:lineRule="exact"/>
              <w:jc w:val="center"/>
              <w:rPr>
                <w:rFonts w:ascii="宋体" w:hAnsi="宋体"/>
                <w:sz w:val="18"/>
                <w:szCs w:val="18"/>
              </w:rPr>
            </w:pPr>
            <w:r>
              <w:rPr>
                <w:rFonts w:hint="eastAsia" w:ascii="宋体" w:hAnsi="宋体"/>
                <w:sz w:val="18"/>
                <w:szCs w:val="18"/>
              </w:rPr>
              <w:t>健全性（2分）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1.5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567"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资产管理</w:t>
            </w:r>
          </w:p>
          <w:p>
            <w:pPr>
              <w:spacing w:line="240" w:lineRule="exact"/>
              <w:jc w:val="center"/>
              <w:rPr>
                <w:rFonts w:ascii="宋体" w:hAnsi="宋体"/>
                <w:sz w:val="18"/>
                <w:szCs w:val="18"/>
              </w:rPr>
            </w:pPr>
            <w:r>
              <w:rPr>
                <w:rFonts w:hint="eastAsia" w:ascii="宋体" w:hAnsi="宋体"/>
                <w:sz w:val="18"/>
                <w:szCs w:val="18"/>
              </w:rPr>
              <w:t>安全性（2分）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spacing w:line="240" w:lineRule="exact"/>
              <w:jc w:val="center"/>
              <w:rPr>
                <w:rFonts w:ascii="宋体" w:hAnsi="宋体"/>
                <w:sz w:val="18"/>
                <w:szCs w:val="18"/>
              </w:rPr>
            </w:pPr>
            <w:r>
              <w:rPr>
                <w:rFonts w:hint="eastAsia" w:ascii="宋体" w:hAnsi="宋体"/>
                <w:sz w:val="18"/>
                <w:szCs w:val="18"/>
              </w:rPr>
              <w:t>2</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spacing w:line="240" w:lineRule="exact"/>
              <w:rPr>
                <w:rFonts w:ascii="宋体" w:hAnsi="宋体"/>
                <w:sz w:val="18"/>
                <w:szCs w:val="18"/>
              </w:rPr>
            </w:pPr>
            <w:r>
              <w:rPr>
                <w:rFonts w:hint="eastAsia" w:ascii="宋体" w:hAnsi="宋体"/>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567"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固定资产</w:t>
            </w:r>
          </w:p>
          <w:p>
            <w:pPr>
              <w:spacing w:line="240" w:lineRule="exact"/>
              <w:jc w:val="center"/>
              <w:rPr>
                <w:rFonts w:ascii="宋体" w:hAnsi="宋体"/>
                <w:sz w:val="18"/>
                <w:szCs w:val="18"/>
              </w:rPr>
            </w:pPr>
            <w:r>
              <w:rPr>
                <w:rFonts w:hint="eastAsia" w:ascii="宋体" w:hAnsi="宋体"/>
                <w:sz w:val="18"/>
                <w:szCs w:val="18"/>
              </w:rPr>
              <w:t>利用率（1分）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0.9</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567" w:hRule="atLeast"/>
        </w:trPr>
        <w:tc>
          <w:tcPr>
            <w:tcW w:w="47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产   出（30分）</w:t>
            </w: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 w:val="18"/>
                <w:szCs w:val="18"/>
              </w:rPr>
            </w:pPr>
            <w:r>
              <w:rPr>
                <w:rFonts w:hint="eastAsia" w:ascii="仿宋_GB2312"/>
                <w:sz w:val="18"/>
                <w:szCs w:val="18"/>
              </w:rPr>
              <w:t>职责</w:t>
            </w:r>
            <w:r>
              <w:rPr>
                <w:rFonts w:hint="eastAsia" w:ascii="仿宋_GB2312"/>
                <w:sz w:val="18"/>
                <w:szCs w:val="18"/>
              </w:rPr>
              <w:br w:type="textWrapping"/>
            </w:r>
            <w:r>
              <w:rPr>
                <w:rFonts w:hint="eastAsia" w:ascii="仿宋_GB2312"/>
                <w:sz w:val="18"/>
                <w:szCs w:val="18"/>
              </w:rPr>
              <w:t>履行</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实际完成率（8分）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8</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567"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完成及时率（4分）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4</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完成及时率=（及时完成实际工作数/计划工作数）×100%。1-4季度各得1分</w:t>
            </w:r>
            <w:r>
              <w:rPr>
                <w:rFonts w:hint="eastAsia" w:ascii="宋体" w:hAnsi="宋体"/>
                <w:sz w:val="18"/>
                <w:szCs w:val="18"/>
              </w:rPr>
              <w:br w:type="textWrapping"/>
            </w:r>
          </w:p>
        </w:tc>
      </w:tr>
      <w:tr>
        <w:tblPrEx>
          <w:tblCellMar>
            <w:top w:w="0" w:type="dxa"/>
            <w:left w:w="0" w:type="dxa"/>
            <w:bottom w:w="0" w:type="dxa"/>
            <w:right w:w="0" w:type="dxa"/>
          </w:tblCellMar>
        </w:tblPrEx>
        <w:trPr>
          <w:trHeight w:val="567"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质量达标率（8分）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8</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质量达标率=（质量达标实际工作数/计划工作数）×100%。实际得分=达标率*8分</w:t>
            </w:r>
          </w:p>
        </w:tc>
      </w:tr>
      <w:tr>
        <w:tblPrEx>
          <w:tblCellMar>
            <w:top w:w="0" w:type="dxa"/>
            <w:left w:w="0" w:type="dxa"/>
            <w:bottom w:w="0" w:type="dxa"/>
            <w:right w:w="0" w:type="dxa"/>
          </w:tblCellMar>
        </w:tblPrEx>
        <w:trPr>
          <w:trHeight w:val="567" w:hRule="atLeast"/>
        </w:trPr>
        <w:tc>
          <w:tcPr>
            <w:tcW w:w="173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重点工作</w:t>
            </w:r>
          </w:p>
          <w:p>
            <w:pPr>
              <w:spacing w:line="240" w:lineRule="exact"/>
              <w:jc w:val="center"/>
              <w:rPr>
                <w:rFonts w:ascii="宋体" w:hAnsi="宋体"/>
                <w:sz w:val="18"/>
                <w:szCs w:val="18"/>
              </w:rPr>
            </w:pPr>
            <w:r>
              <w:rPr>
                <w:rFonts w:hint="eastAsia" w:ascii="宋体" w:hAnsi="宋体"/>
                <w:sz w:val="18"/>
                <w:szCs w:val="18"/>
              </w:rPr>
              <w:t>办结率（10分）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9</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sz w:val="18"/>
                <w:szCs w:val="18"/>
              </w:rPr>
              <w:t>重点工作办结率=（重点工作实际完成数/交办或下达数）×100%。实际得分=办结率*10分</w:t>
            </w:r>
          </w:p>
        </w:tc>
      </w:tr>
      <w:tr>
        <w:tblPrEx>
          <w:tblCellMar>
            <w:top w:w="0" w:type="dxa"/>
            <w:left w:w="0" w:type="dxa"/>
            <w:bottom w:w="0" w:type="dxa"/>
            <w:right w:w="0" w:type="dxa"/>
          </w:tblCellMar>
        </w:tblPrEx>
        <w:trPr>
          <w:trHeight w:val="567" w:hRule="atLeast"/>
        </w:trPr>
        <w:tc>
          <w:tcPr>
            <w:tcW w:w="474"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效   果（20分）</w:t>
            </w:r>
          </w:p>
        </w:tc>
        <w:tc>
          <w:tcPr>
            <w:tcW w:w="63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 w:val="18"/>
                <w:szCs w:val="18"/>
              </w:rPr>
            </w:pPr>
            <w:r>
              <w:rPr>
                <w:rFonts w:hint="eastAsia" w:ascii="仿宋_GB2312"/>
                <w:sz w:val="18"/>
                <w:szCs w:val="18"/>
              </w:rPr>
              <w:t>履职</w:t>
            </w:r>
            <w:r>
              <w:rPr>
                <w:rFonts w:hint="eastAsia" w:ascii="仿宋_GB2312"/>
                <w:sz w:val="18"/>
                <w:szCs w:val="18"/>
              </w:rPr>
              <w:br w:type="textWrapping"/>
            </w:r>
            <w:r>
              <w:rPr>
                <w:rFonts w:hint="eastAsia" w:ascii="仿宋_GB2312"/>
                <w:sz w:val="18"/>
                <w:szCs w:val="18"/>
              </w:rPr>
              <w:t>效益（20分）</w:t>
            </w: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经济效益（5分）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4</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cs="宋体"/>
                <w:kern w:val="0"/>
                <w:sz w:val="18"/>
                <w:szCs w:val="18"/>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567" w:hRule="atLeast"/>
        </w:trPr>
        <w:tc>
          <w:tcPr>
            <w:tcW w:w="1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社会效益（5分）</w:t>
            </w:r>
          </w:p>
        </w:tc>
        <w:tc>
          <w:tcPr>
            <w:tcW w:w="474"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宋体" w:hAnsi="宋体"/>
                <w:sz w:val="18"/>
                <w:szCs w:val="18"/>
              </w:rPr>
            </w:pPr>
            <w:r>
              <w:rPr>
                <w:rFonts w:hint="eastAsia" w:ascii="宋体" w:hAnsi="宋体"/>
                <w:sz w:val="18"/>
                <w:szCs w:val="18"/>
              </w:rPr>
              <w:t>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r>
      <w:tr>
        <w:tblPrEx>
          <w:tblCellMar>
            <w:top w:w="0" w:type="dxa"/>
            <w:left w:w="0" w:type="dxa"/>
            <w:bottom w:w="0" w:type="dxa"/>
            <w:right w:w="0" w:type="dxa"/>
          </w:tblCellMar>
        </w:tblPrEx>
        <w:trPr>
          <w:trHeight w:val="567" w:hRule="atLeast"/>
        </w:trPr>
        <w:tc>
          <w:tcPr>
            <w:tcW w:w="1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生态效益（5分）</w:t>
            </w:r>
          </w:p>
        </w:tc>
        <w:tc>
          <w:tcPr>
            <w:tcW w:w="474"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宋体" w:hAnsi="宋体"/>
                <w:sz w:val="18"/>
                <w:szCs w:val="18"/>
              </w:rPr>
            </w:pPr>
            <w:r>
              <w:rPr>
                <w:rFonts w:hint="eastAsia" w:ascii="宋体" w:hAnsi="宋体"/>
                <w:sz w:val="18"/>
                <w:szCs w:val="18"/>
              </w:rPr>
              <w:t>4</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r>
      <w:tr>
        <w:tblPrEx>
          <w:tblCellMar>
            <w:top w:w="0" w:type="dxa"/>
            <w:left w:w="0" w:type="dxa"/>
            <w:bottom w:w="0" w:type="dxa"/>
            <w:right w:w="0" w:type="dxa"/>
          </w:tblCellMar>
        </w:tblPrEx>
        <w:trPr>
          <w:trHeight w:val="567" w:hRule="atLeast"/>
        </w:trPr>
        <w:tc>
          <w:tcPr>
            <w:tcW w:w="1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Cs w:val="21"/>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sz w:val="18"/>
                <w:szCs w:val="18"/>
              </w:rPr>
            </w:pPr>
            <w:r>
              <w:rPr>
                <w:rFonts w:hint="eastAsia" w:ascii="宋体" w:hAnsi="宋体"/>
                <w:sz w:val="18"/>
                <w:szCs w:val="18"/>
              </w:rPr>
              <w:t>社会公众</w:t>
            </w:r>
          </w:p>
          <w:p>
            <w:pPr>
              <w:spacing w:line="240" w:lineRule="exact"/>
              <w:jc w:val="center"/>
              <w:rPr>
                <w:rFonts w:ascii="宋体" w:hAnsi="宋体"/>
                <w:sz w:val="18"/>
                <w:szCs w:val="18"/>
              </w:rPr>
            </w:pPr>
            <w:r>
              <w:rPr>
                <w:rFonts w:hint="eastAsia" w:ascii="宋体" w:hAnsi="宋体"/>
                <w:sz w:val="18"/>
                <w:szCs w:val="18"/>
              </w:rPr>
              <w:t>或服务对</w:t>
            </w:r>
          </w:p>
          <w:p>
            <w:pPr>
              <w:spacing w:line="240" w:lineRule="exact"/>
              <w:jc w:val="center"/>
              <w:rPr>
                <w:rFonts w:ascii="宋体" w:hAnsi="宋体"/>
                <w:sz w:val="18"/>
                <w:szCs w:val="18"/>
              </w:rPr>
            </w:pPr>
            <w:r>
              <w:rPr>
                <w:rFonts w:hint="eastAsia" w:ascii="宋体" w:hAnsi="宋体"/>
                <w:sz w:val="18"/>
                <w:szCs w:val="18"/>
              </w:rPr>
              <w:t>象满意度（5分）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sz w:val="18"/>
                <w:szCs w:val="18"/>
              </w:rPr>
            </w:pPr>
            <w:r>
              <w:rPr>
                <w:rFonts w:hint="eastAsia" w:ascii="宋体" w:hAnsi="宋体"/>
                <w:sz w:val="18"/>
                <w:szCs w:val="18"/>
              </w:rPr>
              <w:t>5</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r>
              <w:rPr>
                <w:rFonts w:hint="eastAsia" w:ascii="宋体" w:hAnsi="宋体"/>
                <w:sz w:val="18"/>
                <w:szCs w:val="18"/>
              </w:rPr>
              <w:t>社会公众或部门的服务对象对部门履职效果的满意程度。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sz w:val="18"/>
                <w:szCs w:val="18"/>
              </w:rPr>
            </w:pPr>
            <w:r>
              <w:rPr>
                <w:rFonts w:hint="eastAsia" w:ascii="宋体" w:hAnsi="宋体" w:cs="宋体"/>
                <w:kern w:val="0"/>
                <w:sz w:val="18"/>
                <w:szCs w:val="18"/>
              </w:rPr>
              <w:t>按收集到的服务对象的满意率计算得分（5分）</w:t>
            </w:r>
          </w:p>
        </w:tc>
      </w:tr>
      <w:tr>
        <w:tblPrEx>
          <w:tblCellMar>
            <w:top w:w="0" w:type="dxa"/>
            <w:left w:w="0" w:type="dxa"/>
            <w:bottom w:w="0" w:type="dxa"/>
            <w:right w:w="0" w:type="dxa"/>
          </w:tblCellMar>
        </w:tblPrEx>
        <w:trPr>
          <w:trHeight w:val="567" w:hRule="atLeast"/>
        </w:trPr>
        <w:tc>
          <w:tcPr>
            <w:tcW w:w="173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总分</w:t>
            </w:r>
          </w:p>
        </w:tc>
        <w:tc>
          <w:tcPr>
            <w:tcW w:w="474"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宋体" w:hAnsi="宋体"/>
                <w:sz w:val="18"/>
                <w:szCs w:val="18"/>
              </w:rPr>
            </w:pPr>
            <w:r>
              <w:rPr>
                <w:rFonts w:hint="eastAsia" w:ascii="宋体" w:hAnsi="宋体"/>
                <w:sz w:val="18"/>
                <w:szCs w:val="18"/>
              </w:rPr>
              <w:t>95.2</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sz w:val="18"/>
                <w:szCs w:val="18"/>
              </w:rPr>
            </w:pP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s="宋体"/>
                <w:kern w:val="0"/>
                <w:sz w:val="18"/>
                <w:szCs w:val="18"/>
              </w:rPr>
            </w:pPr>
          </w:p>
        </w:tc>
      </w:tr>
    </w:tbl>
    <w:p>
      <w:pPr>
        <w:shd w:val="solid" w:color="FFFFFF" w:fill="auto"/>
        <w:autoSpaceDN w:val="0"/>
        <w:spacing w:line="580" w:lineRule="exact"/>
        <w:rPr>
          <w:rFonts w:ascii="仿宋_GB2312" w:eastAsia="仿宋_GB2312"/>
        </w:rPr>
      </w:pPr>
    </w:p>
    <w:p>
      <w:pPr>
        <w:shd w:val="solid" w:color="FFFFFF" w:fill="auto"/>
        <w:autoSpaceDN w:val="0"/>
        <w:spacing w:line="580" w:lineRule="exact"/>
        <w:rPr>
          <w:rFonts w:ascii="仿宋_GB2312" w:eastAsia="仿宋_GB2312"/>
        </w:rPr>
      </w:pPr>
    </w:p>
    <w:p>
      <w:pPr>
        <w:shd w:val="solid" w:color="FFFFFF" w:fill="auto"/>
        <w:autoSpaceDN w:val="0"/>
        <w:spacing w:line="580" w:lineRule="exact"/>
        <w:rPr>
          <w:rFonts w:ascii="仿宋_GB2312" w:eastAsia="仿宋_GB2312"/>
        </w:rPr>
      </w:pPr>
    </w:p>
    <w:p>
      <w:pPr>
        <w:shd w:val="solid" w:color="FFFFFF" w:fill="auto"/>
        <w:autoSpaceDN w:val="0"/>
        <w:spacing w:line="580" w:lineRule="exact"/>
        <w:rPr>
          <w:rFonts w:ascii="仿宋_GB2312" w:eastAsia="仿宋_GB2312"/>
        </w:rPr>
      </w:pPr>
    </w:p>
    <w:p>
      <w:pPr>
        <w:shd w:val="solid" w:color="FFFFFF" w:fill="auto"/>
        <w:autoSpaceDN w:val="0"/>
        <w:spacing w:line="580" w:lineRule="exact"/>
        <w:rPr>
          <w:rFonts w:ascii="仿宋_GB2312" w:eastAsia="仿宋_GB2312"/>
        </w:rPr>
      </w:pPr>
    </w:p>
    <w:p>
      <w:pPr>
        <w:shd w:val="solid" w:color="FFFFFF" w:fill="auto"/>
        <w:autoSpaceDN w:val="0"/>
        <w:spacing w:line="580" w:lineRule="exact"/>
        <w:rPr>
          <w:rFonts w:ascii="仿宋_GB2312" w:eastAsia="仿宋_GB2312"/>
        </w:rPr>
      </w:pPr>
    </w:p>
    <w:p>
      <w:pPr>
        <w:shd w:val="solid" w:color="FFFFFF" w:fill="auto"/>
        <w:autoSpaceDN w:val="0"/>
        <w:spacing w:line="580" w:lineRule="exact"/>
        <w:rPr>
          <w:rFonts w:ascii="仿宋_GB2312" w:eastAsia="仿宋_GB2312"/>
        </w:rPr>
      </w:pPr>
    </w:p>
    <w:p/>
    <w:p>
      <w:pPr>
        <w:ind w:firstLine="640"/>
        <w:rPr>
          <w:rFonts w:ascii="仿宋_GB2312" w:hAnsi="宋体"/>
          <w:color w:val="000000"/>
        </w:rPr>
      </w:pPr>
      <w:bookmarkStart w:id="0" w:name="_GoBack"/>
      <w:bookmarkEnd w:id="0"/>
    </w:p>
    <w:p>
      <w:pPr>
        <w:shd w:val="clear" w:color="auto" w:fill="FFFFFF"/>
        <w:spacing w:line="580" w:lineRule="exact"/>
        <w:ind w:firstLine="640"/>
        <w:rPr>
          <w:rFonts w:ascii="仿宋_GB2312" w:eastAsia="仿宋_GB2312"/>
          <w:color w:val="000000"/>
        </w:rPr>
      </w:pPr>
    </w:p>
    <w:p>
      <w:pPr>
        <w:shd w:val="clear" w:color="auto" w:fill="FFFFFF"/>
        <w:spacing w:line="580" w:lineRule="exact"/>
        <w:ind w:firstLine="640"/>
        <w:rPr>
          <w:rFonts w:ascii="仿宋_GB2312" w:eastAsia="仿宋_GB2312"/>
          <w:color w:val="000000"/>
        </w:rPr>
      </w:pPr>
    </w:p>
    <w:p>
      <w:pPr>
        <w:shd w:val="clear" w:color="auto" w:fill="FFFFFF"/>
        <w:spacing w:line="580" w:lineRule="exact"/>
        <w:rPr>
          <w:rFonts w:ascii="楷体_GB2312" w:eastAsia="楷体_GB2312"/>
          <w:color w:val="000000"/>
          <w:sz w:val="32"/>
          <w:szCs w:val="32"/>
        </w:rPr>
      </w:pPr>
    </w:p>
    <w:p>
      <w:pPr>
        <w:topLinePunct/>
        <w:spacing w:line="560" w:lineRule="exact"/>
        <w:ind w:firstLine="640" w:firstLineChars="200"/>
        <w:rPr>
          <w:rFonts w:ascii="仿宋_GB2312" w:hAnsi="黑体" w:eastAsia="仿宋_GB2312"/>
          <w:color w:val="000000"/>
          <w:sz w:val="32"/>
          <w:szCs w:val="32"/>
        </w:rPr>
      </w:pPr>
    </w:p>
    <w:p>
      <w:pPr>
        <w:ind w:firstLine="640"/>
      </w:pPr>
    </w:p>
    <w:p>
      <w:pPr>
        <w:spacing w:line="600" w:lineRule="exact"/>
      </w:pPr>
    </w:p>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BB608"/>
    <w:multiLevelType w:val="singleLevel"/>
    <w:tmpl w:val="B63BB608"/>
    <w:lvl w:ilvl="0" w:tentative="0">
      <w:start w:val="6"/>
      <w:numFmt w:val="chineseCounting"/>
      <w:suff w:val="nothing"/>
      <w:lvlText w:val="%1、"/>
      <w:lvlJc w:val="left"/>
      <w:rPr>
        <w:rFonts w:hint="eastAsia"/>
      </w:rPr>
    </w:lvl>
  </w:abstractNum>
  <w:abstractNum w:abstractNumId="1">
    <w:nsid w:val="E5ABAE0B"/>
    <w:multiLevelType w:val="singleLevel"/>
    <w:tmpl w:val="E5ABAE0B"/>
    <w:lvl w:ilvl="0" w:tentative="0">
      <w:start w:val="1"/>
      <w:numFmt w:val="decimal"/>
      <w:suff w:val="nothing"/>
      <w:lvlText w:val="%1、"/>
      <w:lvlJc w:val="left"/>
    </w:lvl>
  </w:abstractNum>
  <w:abstractNum w:abstractNumId="2">
    <w:nsid w:val="20157C51"/>
    <w:multiLevelType w:val="singleLevel"/>
    <w:tmpl w:val="20157C51"/>
    <w:lvl w:ilvl="0" w:tentative="0">
      <w:start w:val="4"/>
      <w:numFmt w:val="chineseCounting"/>
      <w:suff w:val="nothing"/>
      <w:lvlText w:val="%1、"/>
      <w:lvlJc w:val="left"/>
      <w:pPr>
        <w:ind w:left="64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QwNGU5ZmRmYzc1ZjFlYzZmYmQ2YzBmYzdkZTA1NGEifQ=="/>
  </w:docVars>
  <w:rsids>
    <w:rsidRoot w:val="42DA4ECB"/>
    <w:rsid w:val="000127BC"/>
    <w:rsid w:val="000B1DB4"/>
    <w:rsid w:val="00110F5F"/>
    <w:rsid w:val="00113F63"/>
    <w:rsid w:val="001259B9"/>
    <w:rsid w:val="00194E1D"/>
    <w:rsid w:val="001F652D"/>
    <w:rsid w:val="002E63CB"/>
    <w:rsid w:val="0034070A"/>
    <w:rsid w:val="003E57A1"/>
    <w:rsid w:val="00486484"/>
    <w:rsid w:val="006028F4"/>
    <w:rsid w:val="00800395"/>
    <w:rsid w:val="00836F15"/>
    <w:rsid w:val="008F1AE8"/>
    <w:rsid w:val="00B90DB3"/>
    <w:rsid w:val="00D209EC"/>
    <w:rsid w:val="00E30396"/>
    <w:rsid w:val="00ED6C0A"/>
    <w:rsid w:val="034911D9"/>
    <w:rsid w:val="063407A8"/>
    <w:rsid w:val="0D1D090D"/>
    <w:rsid w:val="143550F0"/>
    <w:rsid w:val="1484526A"/>
    <w:rsid w:val="16646555"/>
    <w:rsid w:val="1AAB5D73"/>
    <w:rsid w:val="1E2958E0"/>
    <w:rsid w:val="207B61C6"/>
    <w:rsid w:val="214D4E40"/>
    <w:rsid w:val="27144D3A"/>
    <w:rsid w:val="288F7F80"/>
    <w:rsid w:val="2DF9571A"/>
    <w:rsid w:val="33BA1F7E"/>
    <w:rsid w:val="42DA4ECB"/>
    <w:rsid w:val="457E0B30"/>
    <w:rsid w:val="4778183C"/>
    <w:rsid w:val="489A7C7A"/>
    <w:rsid w:val="4E72041F"/>
    <w:rsid w:val="59EB3A16"/>
    <w:rsid w:val="5A086DDE"/>
    <w:rsid w:val="5E86300D"/>
    <w:rsid w:val="5F235DDE"/>
    <w:rsid w:val="616B5187"/>
    <w:rsid w:val="61AB7688"/>
    <w:rsid w:val="67B84C98"/>
    <w:rsid w:val="6CD32DBA"/>
    <w:rsid w:val="6D2908A1"/>
    <w:rsid w:val="6EDB239C"/>
    <w:rsid w:val="6F603154"/>
    <w:rsid w:val="708F7808"/>
    <w:rsid w:val="71014394"/>
    <w:rsid w:val="768C15AF"/>
    <w:rsid w:val="788C0311"/>
    <w:rsid w:val="79E757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No Spacing"/>
    <w:qFormat/>
    <w:uiPriority w:val="1"/>
    <w:pPr>
      <w:widowControl w:val="0"/>
      <w:spacing w:line="540" w:lineRule="exact"/>
      <w:jc w:val="both"/>
    </w:pPr>
    <w:rPr>
      <w:rFonts w:asciiTheme="minorHAnsi" w:hAnsiTheme="minorHAnsi" w:eastAsiaTheme="minorEastAsia" w:cstheme="minorBidi"/>
      <w:kern w:val="2"/>
      <w:sz w:val="21"/>
      <w:szCs w:val="22"/>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3546</Words>
  <Characters>3708</Characters>
  <Lines>16</Lines>
  <Paragraphs>4</Paragraphs>
  <TotalTime>0</TotalTime>
  <ScaleCrop>false</ScaleCrop>
  <LinksUpToDate>false</LinksUpToDate>
  <CharactersWithSpaces>3757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2021-03-08T01:36:00Z</dcterms:created>
  <dc:creator>睿睿</dc:creator>
  <cp:lastModifiedBy>@wang</cp:lastModifiedBy>
  <cp:lastPrinted>2022-02-28T08:54:00Z</cp:lastPrinted>
  <dcterms:modified xsi:type="dcterms:W3CDTF">2022-05-26T02:47:29Z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1C80134F1F0D44DCB8616AA505ACD185</vt:lpwstr>
  </property>
</Properties>
</file>