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color w:val="FF0000"/>
          <w:sz w:val="44"/>
          <w:szCs w:val="44"/>
        </w:rPr>
        <w:t>南县方谷高级中学</w:t>
      </w:r>
      <w:r>
        <w:rPr>
          <w:rFonts w:hint="eastAsia" w:asciiTheme="minorEastAsia" w:hAnsiTheme="minorEastAsia" w:eastAsiaTheme="minorEastAsia" w:cstheme="minorEastAsia"/>
          <w:b/>
          <w:bCs/>
          <w:sz w:val="44"/>
          <w:szCs w:val="44"/>
        </w:rPr>
        <w:t>2020年度预算绩效自评</w:t>
      </w:r>
    </w:p>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工 作 报 告</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按照《中共湖南省委办公厅 湖南省人民政府办公厅关于全面实施预算绩效管理的实施意见》（湘办发〔2019〕10号）和《南县财政局关于做好2020年度预算绩效自评工作的通知》</w:t>
      </w:r>
      <w:r>
        <w:rPr>
          <w:rFonts w:hint="eastAsia" w:ascii="仿宋" w:hAnsi="仿宋" w:eastAsia="仿宋" w:cs="仿宋"/>
          <w:color w:val="FF0000"/>
          <w:sz w:val="32"/>
          <w:szCs w:val="32"/>
        </w:rPr>
        <w:t>（南财绩函〔2021〕3号）</w:t>
      </w:r>
      <w:r>
        <w:rPr>
          <w:rFonts w:hint="eastAsia" w:ascii="仿宋" w:hAnsi="仿宋" w:eastAsia="仿宋" w:cs="仿宋"/>
          <w:sz w:val="32"/>
          <w:szCs w:val="32"/>
        </w:rPr>
        <w:t>等文件精神要求，为进一步规范财政资金管理，牢固树立预算绩效理念，切实提高财政资金使用效益，我单位成立了以财务分管领导</w:t>
      </w:r>
      <w:r>
        <w:rPr>
          <w:rFonts w:hint="eastAsia" w:ascii="仿宋" w:hAnsi="仿宋" w:eastAsia="仿宋" w:cs="仿宋"/>
          <w:color w:val="FF0000"/>
          <w:sz w:val="32"/>
          <w:szCs w:val="32"/>
        </w:rPr>
        <w:t>李建平</w:t>
      </w:r>
      <w:r>
        <w:rPr>
          <w:rFonts w:hint="eastAsia" w:ascii="仿宋" w:hAnsi="仿宋" w:eastAsia="仿宋" w:cs="仿宋"/>
          <w:sz w:val="32"/>
          <w:szCs w:val="32"/>
        </w:rPr>
        <w:t>同志为组长的预算绩效自评工作小组，参照有关财政支出绩效评价指标体系，认真组织对2020年度县财政预算批复资金进行自查考评，现将有关情况报告如下：</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一、基本情况</w:t>
      </w:r>
    </w:p>
    <w:p>
      <w:pPr>
        <w:spacing w:line="600" w:lineRule="exact"/>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南县方谷高级中学为南县财政预算单位，学样内设有校长室、办公室、教导处、总务处、政教处、工会、团委和财务室。2020年共有干部职工60人，在职在编人员60人；借调人员2人；长期临时工7人；退休人员34人；遗属人员8人，独生子女11人。</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（一）部门整体支出概况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2020年部门决算收支完成情况。</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收入：</w:t>
      </w:r>
      <w:r>
        <w:rPr>
          <w:rFonts w:hint="eastAsia" w:ascii="仿宋" w:hAnsi="仿宋" w:eastAsia="仿宋" w:cs="仿宋"/>
          <w:color w:val="FF0000"/>
          <w:sz w:val="32"/>
          <w:szCs w:val="32"/>
        </w:rPr>
        <w:t>1301.78</w:t>
      </w:r>
      <w:r>
        <w:rPr>
          <w:rFonts w:hint="eastAsia" w:ascii="仿宋" w:hAnsi="仿宋" w:eastAsia="仿宋" w:cs="仿宋"/>
          <w:sz w:val="32"/>
          <w:szCs w:val="32"/>
        </w:rPr>
        <w:t>万元。同比上年度</w:t>
      </w:r>
      <w:r>
        <w:rPr>
          <w:rFonts w:hint="eastAsia" w:ascii="仿宋" w:hAnsi="仿宋" w:eastAsia="仿宋" w:cs="仿宋"/>
          <w:color w:val="FF0000"/>
          <w:sz w:val="32"/>
          <w:szCs w:val="32"/>
        </w:rPr>
        <w:t>1545.10</w:t>
      </w:r>
      <w:r>
        <w:rPr>
          <w:rFonts w:hint="eastAsia" w:ascii="仿宋" w:hAnsi="仿宋" w:eastAsia="仿宋" w:cs="仿宋"/>
          <w:sz w:val="32"/>
          <w:szCs w:val="32"/>
        </w:rPr>
        <w:t>万元减少</w:t>
      </w:r>
      <w:r>
        <w:rPr>
          <w:rFonts w:hint="eastAsia" w:ascii="仿宋" w:hAnsi="仿宋" w:eastAsia="仿宋" w:cs="仿宋"/>
          <w:color w:val="FF0000"/>
          <w:sz w:val="32"/>
          <w:szCs w:val="32"/>
        </w:rPr>
        <w:t>243.32</w:t>
      </w:r>
      <w:r>
        <w:rPr>
          <w:rFonts w:hint="eastAsia" w:ascii="仿宋" w:hAnsi="仿宋" w:eastAsia="仿宋" w:cs="仿宋"/>
          <w:sz w:val="32"/>
          <w:szCs w:val="32"/>
        </w:rPr>
        <w:t>万元，减少15.75％。其中：财政拨款收入</w:t>
      </w:r>
      <w:r>
        <w:rPr>
          <w:rFonts w:hint="eastAsia" w:ascii="仿宋" w:hAnsi="仿宋" w:eastAsia="仿宋" w:cs="仿宋"/>
          <w:color w:val="FF0000"/>
          <w:sz w:val="32"/>
          <w:szCs w:val="32"/>
        </w:rPr>
        <w:t>1266.65</w:t>
      </w:r>
      <w:r>
        <w:rPr>
          <w:rFonts w:hint="eastAsia" w:ascii="仿宋" w:hAnsi="仿宋" w:eastAsia="仿宋" w:cs="仿宋"/>
          <w:sz w:val="32"/>
          <w:szCs w:val="32"/>
        </w:rPr>
        <w:t>万元,同比上年度</w:t>
      </w:r>
      <w:r>
        <w:rPr>
          <w:rFonts w:hint="eastAsia" w:ascii="仿宋" w:hAnsi="仿宋" w:eastAsia="仿宋" w:cs="仿宋"/>
          <w:color w:val="FF0000"/>
          <w:sz w:val="32"/>
          <w:szCs w:val="32"/>
        </w:rPr>
        <w:t>1417.90</w:t>
      </w:r>
      <w:r>
        <w:rPr>
          <w:rFonts w:hint="eastAsia" w:ascii="仿宋" w:hAnsi="仿宋" w:eastAsia="仿宋" w:cs="仿宋"/>
          <w:sz w:val="32"/>
          <w:szCs w:val="32"/>
        </w:rPr>
        <w:t>万元减少</w:t>
      </w:r>
      <w:r>
        <w:rPr>
          <w:rFonts w:hint="eastAsia" w:ascii="仿宋" w:hAnsi="仿宋" w:eastAsia="仿宋" w:cs="仿宋"/>
          <w:color w:val="FF0000"/>
          <w:sz w:val="32"/>
          <w:szCs w:val="32"/>
        </w:rPr>
        <w:t>151.25</w:t>
      </w:r>
      <w:r>
        <w:rPr>
          <w:rFonts w:hint="eastAsia" w:ascii="仿宋" w:hAnsi="仿宋" w:eastAsia="仿宋" w:cs="仿宋"/>
          <w:sz w:val="32"/>
          <w:szCs w:val="32"/>
        </w:rPr>
        <w:t>万元，减少</w:t>
      </w:r>
      <w:r>
        <w:rPr>
          <w:rFonts w:hint="eastAsia" w:ascii="仿宋" w:hAnsi="仿宋" w:eastAsia="仿宋" w:cs="仿宋"/>
          <w:color w:val="FF0000"/>
          <w:sz w:val="32"/>
          <w:szCs w:val="32"/>
        </w:rPr>
        <w:t>10.67</w:t>
      </w:r>
      <w:r>
        <w:rPr>
          <w:rFonts w:hint="eastAsia" w:ascii="仿宋" w:hAnsi="仿宋" w:eastAsia="仿宋" w:cs="仿宋"/>
          <w:sz w:val="32"/>
          <w:szCs w:val="32"/>
        </w:rPr>
        <w:t>％。其他收入</w:t>
      </w:r>
      <w:r>
        <w:rPr>
          <w:rFonts w:hint="eastAsia" w:ascii="仿宋" w:hAnsi="仿宋" w:eastAsia="仿宋" w:cs="仿宋"/>
          <w:color w:val="FF0000"/>
          <w:sz w:val="32"/>
          <w:szCs w:val="32"/>
        </w:rPr>
        <w:t>35.13</w:t>
      </w:r>
      <w:r>
        <w:rPr>
          <w:rFonts w:hint="eastAsia" w:ascii="仿宋" w:hAnsi="仿宋" w:eastAsia="仿宋" w:cs="仿宋"/>
          <w:sz w:val="32"/>
          <w:szCs w:val="32"/>
        </w:rPr>
        <w:t>万元，同比上年度</w:t>
      </w:r>
      <w:r>
        <w:rPr>
          <w:rFonts w:hint="eastAsia" w:ascii="仿宋" w:hAnsi="仿宋" w:eastAsia="仿宋" w:cs="仿宋"/>
          <w:color w:val="FF0000"/>
          <w:sz w:val="32"/>
          <w:szCs w:val="32"/>
        </w:rPr>
        <w:t>127.20</w:t>
      </w:r>
      <w:r>
        <w:rPr>
          <w:rFonts w:hint="eastAsia" w:ascii="仿宋" w:hAnsi="仿宋" w:eastAsia="仿宋" w:cs="仿宋"/>
          <w:sz w:val="32"/>
          <w:szCs w:val="32"/>
        </w:rPr>
        <w:t>万元减少92.07万元，</w:t>
      </w:r>
      <w:r>
        <w:rPr>
          <w:rFonts w:hint="eastAsia" w:ascii="仿宋" w:hAnsi="仿宋" w:eastAsia="仿宋" w:cs="仿宋"/>
          <w:color w:val="FF0000"/>
          <w:sz w:val="32"/>
          <w:szCs w:val="32"/>
        </w:rPr>
        <w:t>减少72.38</w:t>
      </w:r>
      <w:r>
        <w:rPr>
          <w:rFonts w:hint="eastAsia" w:ascii="仿宋" w:hAnsi="仿宋" w:eastAsia="仿宋" w:cs="仿宋"/>
          <w:sz w:val="32"/>
          <w:szCs w:val="32"/>
        </w:rPr>
        <w:t>％。主要是</w:t>
      </w:r>
      <w:r>
        <w:rPr>
          <w:rFonts w:hint="eastAsia" w:ascii="仿宋" w:hAnsi="仿宋" w:eastAsia="仿宋" w:cs="仿宋"/>
          <w:color w:val="FF0000"/>
          <w:sz w:val="32"/>
          <w:szCs w:val="32"/>
        </w:rPr>
        <w:t>食堂收入未算，本年其他收入减少。</w:t>
      </w:r>
    </w:p>
    <w:p>
      <w:pPr>
        <w:numPr>
          <w:ilvl w:val="0"/>
          <w:numId w:val="1"/>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支出：</w:t>
      </w:r>
      <w:r>
        <w:rPr>
          <w:rFonts w:hint="eastAsia" w:ascii="仿宋" w:hAnsi="仿宋" w:eastAsia="仿宋" w:cs="仿宋"/>
          <w:color w:val="FF0000"/>
          <w:sz w:val="32"/>
          <w:szCs w:val="32"/>
        </w:rPr>
        <w:t>1301.82</w:t>
      </w:r>
      <w:r>
        <w:rPr>
          <w:rFonts w:hint="eastAsia" w:ascii="仿宋" w:hAnsi="仿宋" w:eastAsia="仿宋" w:cs="仿宋"/>
          <w:sz w:val="32"/>
          <w:szCs w:val="32"/>
        </w:rPr>
        <w:t>万元，同比上年</w:t>
      </w:r>
      <w:r>
        <w:rPr>
          <w:rFonts w:hint="eastAsia" w:ascii="仿宋" w:hAnsi="仿宋" w:eastAsia="仿宋" w:cs="仿宋"/>
          <w:color w:val="FF0000"/>
          <w:sz w:val="32"/>
          <w:szCs w:val="32"/>
        </w:rPr>
        <w:t>1549.73</w:t>
      </w:r>
      <w:r>
        <w:rPr>
          <w:rFonts w:hint="eastAsia" w:ascii="仿宋" w:hAnsi="仿宋" w:eastAsia="仿宋" w:cs="仿宋"/>
          <w:sz w:val="32"/>
          <w:szCs w:val="32"/>
        </w:rPr>
        <w:t>万元减少</w:t>
      </w:r>
      <w:r>
        <w:rPr>
          <w:rFonts w:hint="eastAsia" w:ascii="仿宋" w:hAnsi="仿宋" w:eastAsia="仿宋" w:cs="仿宋"/>
          <w:color w:val="FF0000"/>
          <w:sz w:val="32"/>
          <w:szCs w:val="32"/>
        </w:rPr>
        <w:t>247.92</w:t>
      </w:r>
      <w:r>
        <w:rPr>
          <w:rFonts w:hint="eastAsia" w:ascii="仿宋" w:hAnsi="仿宋" w:eastAsia="仿宋" w:cs="仿宋"/>
          <w:sz w:val="32"/>
          <w:szCs w:val="32"/>
        </w:rPr>
        <w:t>万元，减少16.00％。减少部分主要是</w:t>
      </w:r>
      <w:r>
        <w:rPr>
          <w:rFonts w:hint="eastAsia" w:ascii="仿宋" w:hAnsi="仿宋" w:eastAsia="仿宋" w:cs="仿宋"/>
          <w:color w:val="FF0000"/>
          <w:sz w:val="32"/>
          <w:szCs w:val="32"/>
        </w:rPr>
        <w:t xml:space="preserve"> 人员减少，本年人员经费支出减少。</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（二）部门整体支出绩效目标</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严格按照年初预算进行支出，并在支出过程中，能严格遵守各项规章制度，争取做到“三公经费”能有明显下降。所有项目都严格按方案组织实施，并加强监督。一定要能专款专用，所有项目都按要求进行资金拨付，做到无截留、无挪用，严格实行先预算、后执行的制度要求。</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（三）部门整体支出情况分析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2020年度财政预算资金合计</w:t>
      </w:r>
      <w:r>
        <w:rPr>
          <w:rFonts w:hint="eastAsia" w:ascii="仿宋" w:hAnsi="仿宋" w:eastAsia="仿宋" w:cs="仿宋"/>
          <w:color w:val="FF0000"/>
          <w:sz w:val="32"/>
          <w:szCs w:val="32"/>
        </w:rPr>
        <w:t>1266.65</w:t>
      </w:r>
      <w:r>
        <w:rPr>
          <w:rFonts w:hint="eastAsia" w:ascii="仿宋" w:hAnsi="仿宋" w:eastAsia="仿宋" w:cs="仿宋"/>
          <w:sz w:val="32"/>
          <w:szCs w:val="32"/>
        </w:rPr>
        <w:t>万元，2020年12月全部拨付到位，我单位根据年初预算编制及时制定实施计划组织实施。</w:t>
      </w:r>
      <w:r>
        <w:rPr>
          <w:rFonts w:hint="eastAsia" w:ascii="仿宋" w:hAnsi="仿宋" w:eastAsia="仿宋" w:cs="仿宋"/>
          <w:color w:val="FF0000"/>
          <w:sz w:val="32"/>
          <w:szCs w:val="32"/>
        </w:rPr>
        <w:t>学校</w:t>
      </w:r>
      <w:r>
        <w:rPr>
          <w:rFonts w:hint="eastAsia" w:ascii="仿宋" w:hAnsi="仿宋" w:eastAsia="仿宋" w:cs="仿宋"/>
          <w:sz w:val="32"/>
          <w:szCs w:val="32"/>
        </w:rPr>
        <w:t>严格按照年初预算进行部门整体支出。在支出过程中，严格遵守各项规章制度，严格控制公务接待和公务用车费用的支出。尤其是在专项经费支出上，我们力争做到专款专用，按项目实施计划的进度情况进行资金分配，无挪用专项经费的现象。实行了先有预算、后有执行、“用钱必问效、无效必问责”的新常态。</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二、绩效评价工作情况</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（一）绩效评价目的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此次绩效评价的目的是：严格落实《预算法》及省、市、县绩效管理工作的有关规定，进一步规范财政资金的管理，强化财政支出绩效理念，提升部门责任意识，提高资金使用效益，促进科协事业又好又快的发展。</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（二）绩效评价的工作过程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绩效评价的要求，我们成立了自评工作领导小组，对照自评方案进行研究和布署，学校班子成员及财务人员全程参与，按照自评方案的要求，对照各实施项目的内容逐条逐项自评。在自评过程发现问题，查找原因，及时纠正偏差，为下一步工作夯实基础。</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三、主要绩效及评价结论</w:t>
      </w:r>
    </w:p>
    <w:p>
      <w:pPr>
        <w:pStyle w:val="2"/>
        <w:ind w:firstLine="560" w:firstLineChars="200"/>
        <w:rPr>
          <w:rFonts w:ascii="宋体" w:hAnsi="宋体" w:cs="宋体"/>
          <w:color w:val="FF0000"/>
          <w:sz w:val="28"/>
          <w:szCs w:val="28"/>
        </w:rPr>
      </w:pPr>
      <w:r>
        <w:rPr>
          <w:rFonts w:hint="eastAsia" w:ascii="宋体" w:hAnsi="宋体" w:cs="宋体"/>
          <w:color w:val="FF0000"/>
          <w:sz w:val="28"/>
          <w:szCs w:val="28"/>
        </w:rPr>
        <w:t>2020年，在县财政局和教育局的正确领导下，我们紧紧围绕年度目标任务，团结拼搏，锐意进取，扎实工作，全面完成了各项工作任务，实现了良好开局。</w:t>
      </w:r>
    </w:p>
    <w:p>
      <w:pPr>
        <w:pStyle w:val="2"/>
        <w:ind w:firstLine="560" w:firstLineChars="200"/>
        <w:rPr>
          <w:rFonts w:ascii="宋体" w:hAnsi="宋体" w:cs="宋体"/>
          <w:color w:val="FF0000"/>
          <w:sz w:val="28"/>
          <w:szCs w:val="28"/>
        </w:rPr>
      </w:pPr>
      <w:r>
        <w:rPr>
          <w:rFonts w:hint="eastAsia" w:ascii="宋体" w:hAnsi="宋体" w:cs="宋体"/>
          <w:color w:val="FF0000"/>
          <w:sz w:val="28"/>
          <w:szCs w:val="28"/>
        </w:rPr>
        <w:t>1、保证学校教育教学正常运行：开课率达到100%，且学校始终坚持“立德、立学、强毅、强身”为校训，以 “和谐、奋进”为主旋律，围绕 “育人为本”的教育模式，努力打造“平安校园”、“和谐校园”、“两型校园”“绿色校园”和“文明校园”。组织开展了爱国主义教育、弘扬社会主义核心价值观的系列教育、安全教育、环保教育等主题教育活动，积极参加上级部门组织的各项活动，成绩显著，学生综合素质得到提升，全年无任何安全事故。</w:t>
      </w:r>
    </w:p>
    <w:p>
      <w:pPr>
        <w:pStyle w:val="2"/>
        <w:ind w:firstLine="560" w:firstLineChars="200"/>
        <w:rPr>
          <w:rFonts w:ascii="宋体" w:hAnsi="宋体" w:cs="宋体"/>
          <w:color w:val="FF0000"/>
          <w:sz w:val="28"/>
          <w:szCs w:val="28"/>
        </w:rPr>
      </w:pPr>
      <w:r>
        <w:rPr>
          <w:rFonts w:hint="eastAsia" w:ascii="宋体" w:hAnsi="宋体" w:cs="宋体"/>
          <w:color w:val="FF0000"/>
          <w:sz w:val="28"/>
          <w:szCs w:val="28"/>
        </w:rPr>
        <w:t>2、资产清查：准确盘清学校资产，达到了100%。</w:t>
      </w:r>
    </w:p>
    <w:p>
      <w:pPr>
        <w:pStyle w:val="2"/>
        <w:ind w:firstLine="560" w:firstLineChars="200"/>
        <w:rPr>
          <w:rFonts w:ascii="宋体" w:hAnsi="宋体" w:cs="宋体"/>
          <w:color w:val="FF0000"/>
          <w:sz w:val="28"/>
          <w:szCs w:val="28"/>
        </w:rPr>
      </w:pPr>
      <w:r>
        <w:rPr>
          <w:rFonts w:hint="eastAsia" w:ascii="宋体" w:hAnsi="宋体" w:cs="宋体"/>
          <w:color w:val="FF0000"/>
          <w:sz w:val="28"/>
          <w:szCs w:val="28"/>
        </w:rPr>
        <w:t>3、学校教育教学综合评估：我校一直坚持“宽基础，重选择”的办学思路，为学生素质全面发展提供广阔的空间。以重实际、抓实事、求实效为教学管理工作的基本原则，认真落实课程计划，加强教学常规管理，深化课堂教学改革，优化教师队伍建设，努力提高学校教育教学质量，提升了学校发展的品位，挖掘了学校发展的潜力。</w:t>
      </w:r>
    </w:p>
    <w:p>
      <w:pPr>
        <w:pStyle w:val="2"/>
        <w:ind w:firstLine="560" w:firstLineChars="200"/>
        <w:rPr>
          <w:rFonts w:ascii="宋体" w:hAnsi="宋体" w:cs="宋体"/>
          <w:color w:val="FF0000"/>
          <w:sz w:val="28"/>
          <w:szCs w:val="28"/>
        </w:rPr>
      </w:pPr>
      <w:r>
        <w:rPr>
          <w:rFonts w:hint="eastAsia" w:ascii="宋体" w:hAnsi="宋体" w:cs="宋体"/>
          <w:color w:val="FF0000"/>
          <w:sz w:val="28"/>
          <w:szCs w:val="28"/>
        </w:rPr>
        <w:t>4、办学社会影响越来越好。用于教育教学的资金得到有效使用：如男生寝室洗漱间浴室厕所改造、学生食堂设备更换等。</w:t>
      </w:r>
    </w:p>
    <w:p>
      <w:pPr>
        <w:pStyle w:val="2"/>
        <w:ind w:firstLine="560" w:firstLineChars="200"/>
      </w:pPr>
      <w:r>
        <w:rPr>
          <w:rFonts w:hint="eastAsia" w:ascii="宋体" w:hAnsi="宋体" w:cs="宋体"/>
          <w:color w:val="FF0000"/>
          <w:sz w:val="28"/>
          <w:szCs w:val="28"/>
        </w:rPr>
        <w:t>5、党建工作扎实开展：认真组织 “两学一做”专题教育，召开动员会，制订学习计划，组织专题学习和讨论，把《条例》《准则》的要求化为自己的行动。完善学校班子议事规则和决策程序，监督领导班子按民主集中制原则议事决策，严格落实各项党建制度。按标准将党建工作经费列入年度预算，保证了党建工作和党员教育经费，配备了必要的教育设施。落实主体责任，认真履行“一岗双责”； 落实纪委监督责任，实现“三转”要求，理清角色定位；开展“党内法规学习教育年”活动；驰而不息纠正“四风”，认真开展了“雁过拔毛”式腐败问题专项治理。</w:t>
      </w:r>
    </w:p>
    <w:p>
      <w:pPr>
        <w:pStyle w:val="2"/>
        <w:numPr>
          <w:ilvl w:val="0"/>
          <w:numId w:val="2"/>
        </w:numPr>
        <w:spacing w:line="600" w:lineRule="exact"/>
        <w:rPr>
          <w:rFonts w:ascii="仿宋" w:hAnsi="仿宋" w:eastAsia="仿宋" w:cs="仿宋"/>
          <w:b/>
          <w:bCs/>
          <w:sz w:val="32"/>
          <w:szCs w:val="32"/>
        </w:rPr>
      </w:pPr>
      <w:r>
        <w:rPr>
          <w:rFonts w:hint="eastAsia" w:ascii="仿宋" w:hAnsi="仿宋" w:eastAsia="仿宋" w:cs="仿宋"/>
          <w:b/>
          <w:bCs/>
          <w:sz w:val="32"/>
          <w:szCs w:val="32"/>
        </w:rPr>
        <w:t>存在的问题</w:t>
      </w:r>
    </w:p>
    <w:p>
      <w:pPr>
        <w:spacing w:line="600" w:lineRule="exact"/>
        <w:ind w:firstLine="640" w:firstLineChars="200"/>
        <w:rPr>
          <w:rFonts w:ascii="仿宋" w:hAnsi="仿宋" w:eastAsia="仿宋" w:cs="仿宋"/>
          <w:color w:val="FF0000"/>
          <w:sz w:val="32"/>
          <w:szCs w:val="32"/>
        </w:rPr>
      </w:pPr>
      <w:r>
        <w:rPr>
          <w:rFonts w:hint="eastAsia" w:ascii="仿宋_GB2312" w:hAnsi="仿宋_GB2312" w:eastAsia="仿宋_GB2312" w:cs="仿宋_GB2312"/>
          <w:color w:val="FF0000"/>
          <w:sz w:val="32"/>
          <w:szCs w:val="32"/>
        </w:rPr>
        <w:t>一是优质资源总量不足，教学质量不够高，城乡、校际之间均衡发展仍然存在差距；虽然“有学上”全面实现、“上好学”加快推进，但人民群众个性化、多样化的教育需求仍未有效满足。二是教师队伍管理亟待加强。部分学校存在教师结构性缺编现象，亟待引进补充，少数教师法纪观念、师德表现、工作态度和敬业精神与基本要求有差距。三是教育改革难度较大。如教师非教学任务过多、学生课业负担重；新高考下硬件、师资、课程改革难；资源配置不均，教师工作量不均衡等问题。四是学校安全隐患仍然较多，特别是安全管控压力较大。</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五、有关建议 </w:t>
      </w:r>
    </w:p>
    <w:p>
      <w:pPr>
        <w:spacing w:line="600" w:lineRule="exact"/>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财政部门根据教育实际情况，适当增加预算。</w:t>
      </w:r>
    </w:p>
    <w:p>
      <w:pPr>
        <w:numPr>
          <w:ilvl w:val="0"/>
          <w:numId w:val="3"/>
        </w:num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其他需要说明的问题：无</w:t>
      </w:r>
    </w:p>
    <w:p>
      <w:pPr>
        <w:spacing w:line="600" w:lineRule="exact"/>
        <w:jc w:val="right"/>
        <w:rPr>
          <w:rFonts w:ascii="仿宋" w:hAnsi="仿宋" w:eastAsia="仿宋" w:cs="仿宋"/>
          <w:sz w:val="32"/>
          <w:szCs w:val="32"/>
        </w:rPr>
      </w:pPr>
      <w:r>
        <w:rPr>
          <w:rFonts w:hint="eastAsia" w:ascii="仿宋" w:hAnsi="仿宋" w:eastAsia="仿宋" w:cs="仿宋"/>
          <w:color w:val="FF0000"/>
          <w:sz w:val="32"/>
          <w:szCs w:val="32"/>
        </w:rPr>
        <w:t>南县方谷高级中学</w:t>
      </w:r>
    </w:p>
    <w:p>
      <w:pPr>
        <w:spacing w:line="600" w:lineRule="exact"/>
        <w:jc w:val="right"/>
        <w:rPr>
          <w:color w:val="FF0000"/>
        </w:rPr>
      </w:pPr>
      <w:r>
        <w:rPr>
          <w:rFonts w:hint="eastAsia" w:ascii="仿宋" w:hAnsi="仿宋" w:eastAsia="仿宋" w:cs="仿宋"/>
          <w:color w:val="FF0000"/>
          <w:sz w:val="32"/>
          <w:szCs w:val="32"/>
        </w:rPr>
        <w:t>2021年3月12日</w:t>
      </w:r>
    </w:p>
    <w:p>
      <w:pPr>
        <w:spacing w:line="600" w:lineRule="exact"/>
        <w:rPr>
          <w:rFonts w:hint="eastAsia"/>
          <w:lang w:eastAsia="zh-CN"/>
        </w:rPr>
      </w:pPr>
      <w:r>
        <w:rPr>
          <w:rFonts w:hint="eastAsia"/>
          <w:lang w:eastAsia="zh-CN"/>
        </w:rPr>
        <w:t>附：</w:t>
      </w:r>
    </w:p>
    <w:p>
      <w:pPr>
        <w:pStyle w:val="2"/>
        <w:rPr>
          <w:rFonts w:hint="eastAsia"/>
          <w:lang w:eastAsia="zh-CN"/>
        </w:rPr>
      </w:pPr>
    </w:p>
    <w:p>
      <w:pPr>
        <w:rPr>
          <w:rFonts w:ascii="黑体" w:eastAsia="黑体"/>
          <w:sz w:val="28"/>
          <w:szCs w:val="28"/>
        </w:rPr>
      </w:pPr>
    </w:p>
    <w:p>
      <w:pPr>
        <w:jc w:val="center"/>
        <w:rPr>
          <w:rFonts w:ascii="黑体" w:eastAsia="黑体"/>
          <w:bCs/>
          <w:sz w:val="36"/>
          <w:szCs w:val="36"/>
        </w:rPr>
      </w:pPr>
      <w:r>
        <w:rPr>
          <w:rFonts w:hint="eastAsia" w:ascii="黑体" w:eastAsia="黑体"/>
          <w:bCs/>
          <w:sz w:val="36"/>
          <w:szCs w:val="36"/>
        </w:rPr>
        <w:t>南县方谷高级中学</w:t>
      </w:r>
    </w:p>
    <w:p>
      <w:pPr>
        <w:jc w:val="center"/>
        <w:rPr>
          <w:rFonts w:ascii="黑体" w:eastAsia="黑体"/>
          <w:bCs/>
          <w:sz w:val="36"/>
          <w:szCs w:val="36"/>
        </w:rPr>
      </w:pPr>
      <w:r>
        <w:rPr>
          <w:rFonts w:hint="eastAsia" w:ascii="黑体" w:eastAsia="黑体"/>
          <w:bCs/>
          <w:sz w:val="36"/>
          <w:szCs w:val="36"/>
        </w:rPr>
        <w:t>202</w:t>
      </w:r>
      <w:r>
        <w:rPr>
          <w:rFonts w:hint="eastAsia" w:ascii="黑体" w:eastAsia="黑体"/>
          <w:bCs/>
          <w:sz w:val="36"/>
          <w:szCs w:val="36"/>
          <w:lang w:val="en-US" w:eastAsia="zh-CN"/>
        </w:rPr>
        <w:t>0</w:t>
      </w:r>
      <w:r>
        <w:rPr>
          <w:rFonts w:hint="eastAsia" w:ascii="黑体" w:eastAsia="黑体"/>
          <w:bCs/>
          <w:sz w:val="36"/>
          <w:szCs w:val="36"/>
        </w:rPr>
        <w:t>年部门整体支出绩效自评指标计分表</w:t>
      </w:r>
    </w:p>
    <w:p>
      <w:pPr>
        <w:spacing w:line="300" w:lineRule="exact"/>
        <w:rPr>
          <w:rFonts w:ascii="黑体" w:eastAsia="黑体"/>
          <w:szCs w:val="32"/>
        </w:rPr>
      </w:pPr>
    </w:p>
    <w:tbl>
      <w:tblPr>
        <w:tblStyle w:val="5"/>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96.3</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Pr>
        <w:shd w:val="solid" w:color="FFFFFF" w:fill="auto"/>
        <w:autoSpaceDN w:val="0"/>
        <w:spacing w:line="580" w:lineRule="exact"/>
        <w:rPr>
          <w:rFonts w:ascii="仿宋_GB2312" w:eastAsia="仿宋_GB2312"/>
        </w:rPr>
      </w:pPr>
    </w:p>
    <w:p/>
    <w:p>
      <w:pPr>
        <w:rPr>
          <w:rFonts w:hint="eastAsia"/>
          <w:lang w:eastAsia="zh-CN"/>
        </w:rPr>
      </w:pPr>
      <w:bookmarkStart w:id="0" w:name="_GoBack"/>
      <w:bookmarkEnd w:id="0"/>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BB608"/>
    <w:multiLevelType w:val="singleLevel"/>
    <w:tmpl w:val="B63BB608"/>
    <w:lvl w:ilvl="0" w:tentative="0">
      <w:start w:val="6"/>
      <w:numFmt w:val="chineseCounting"/>
      <w:suff w:val="nothing"/>
      <w:lvlText w:val="%1、"/>
      <w:lvlJc w:val="left"/>
      <w:rPr>
        <w:rFonts w:hint="eastAsia"/>
      </w:rPr>
    </w:lvl>
  </w:abstractNum>
  <w:abstractNum w:abstractNumId="1">
    <w:nsid w:val="E5ABAE0B"/>
    <w:multiLevelType w:val="singleLevel"/>
    <w:tmpl w:val="E5ABAE0B"/>
    <w:lvl w:ilvl="0" w:tentative="0">
      <w:start w:val="1"/>
      <w:numFmt w:val="decimal"/>
      <w:suff w:val="nothing"/>
      <w:lvlText w:val="%1、"/>
      <w:lvlJc w:val="left"/>
    </w:lvl>
  </w:abstractNum>
  <w:abstractNum w:abstractNumId="2">
    <w:nsid w:val="20157C51"/>
    <w:multiLevelType w:val="singleLevel"/>
    <w:tmpl w:val="20157C51"/>
    <w:lvl w:ilvl="0" w:tentative="0">
      <w:start w:val="4"/>
      <w:numFmt w:val="chineseCounting"/>
      <w:suff w:val="nothing"/>
      <w:lvlText w:val="%1、"/>
      <w:lvlJc w:val="left"/>
      <w:pPr>
        <w:ind w:left="64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42DA4ECB"/>
    <w:rsid w:val="0001212A"/>
    <w:rsid w:val="000C761E"/>
    <w:rsid w:val="000F326D"/>
    <w:rsid w:val="000F6CC9"/>
    <w:rsid w:val="002B6BF5"/>
    <w:rsid w:val="002D4682"/>
    <w:rsid w:val="003050DE"/>
    <w:rsid w:val="0044785A"/>
    <w:rsid w:val="004B6549"/>
    <w:rsid w:val="00521D18"/>
    <w:rsid w:val="00771734"/>
    <w:rsid w:val="008462EA"/>
    <w:rsid w:val="00925F48"/>
    <w:rsid w:val="009C1A93"/>
    <w:rsid w:val="00A67FDE"/>
    <w:rsid w:val="00B90AA5"/>
    <w:rsid w:val="00BB5107"/>
    <w:rsid w:val="00DA46C7"/>
    <w:rsid w:val="00DA4C51"/>
    <w:rsid w:val="00E442E7"/>
    <w:rsid w:val="00F03029"/>
    <w:rsid w:val="00F3524F"/>
    <w:rsid w:val="00F87798"/>
    <w:rsid w:val="00FD5B78"/>
    <w:rsid w:val="034911D9"/>
    <w:rsid w:val="063407A8"/>
    <w:rsid w:val="0D1D090D"/>
    <w:rsid w:val="110B2C4B"/>
    <w:rsid w:val="143550F0"/>
    <w:rsid w:val="1AAB5D73"/>
    <w:rsid w:val="1E2958E0"/>
    <w:rsid w:val="207B61C6"/>
    <w:rsid w:val="214D4E40"/>
    <w:rsid w:val="27144D3A"/>
    <w:rsid w:val="288F7F80"/>
    <w:rsid w:val="2DF9571A"/>
    <w:rsid w:val="33BA1F7E"/>
    <w:rsid w:val="42DA4ECB"/>
    <w:rsid w:val="457E0B30"/>
    <w:rsid w:val="4778183C"/>
    <w:rsid w:val="489A7C7A"/>
    <w:rsid w:val="4E72041F"/>
    <w:rsid w:val="59EB3A16"/>
    <w:rsid w:val="5E86300D"/>
    <w:rsid w:val="5F235DDE"/>
    <w:rsid w:val="616B5187"/>
    <w:rsid w:val="67B84C98"/>
    <w:rsid w:val="6CD32DBA"/>
    <w:rsid w:val="6D2908A1"/>
    <w:rsid w:val="6EDB239C"/>
    <w:rsid w:val="6F603154"/>
    <w:rsid w:val="700B34D1"/>
    <w:rsid w:val="708F7808"/>
    <w:rsid w:val="71014394"/>
    <w:rsid w:val="768C15AF"/>
    <w:rsid w:val="788C0311"/>
    <w:rsid w:val="79E7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2151</Words>
  <Characters>2283</Characters>
  <Lines>16</Lines>
  <Paragraphs>4</Paragraphs>
  <TotalTime>0</TotalTime>
  <ScaleCrop>false</ScaleCrop>
  <LinksUpToDate>false</LinksUpToDate>
  <CharactersWithSpaces>2297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2022-02-25T12:53:00Z</dcterms:created>
  <dc:creator>睿睿</dc:creator>
  <cp:lastModifiedBy>@wang</cp:lastModifiedBy>
  <cp:lastPrinted>2022-02-25T00:58:00Z</cp:lastPrinted>
  <dcterms:modified xsi:type="dcterms:W3CDTF">2022-05-27T10:36:21Z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EF02EC323C9646DBA0412874BFF743B1</vt:lpwstr>
  </property>
</Properties>
</file>