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0F" w:rsidRDefault="00C83D2E" w:rsidP="008B3C0F">
      <w:pPr>
        <w:jc w:val="center"/>
        <w:rPr>
          <w:b/>
          <w:bCs/>
          <w:sz w:val="36"/>
          <w:szCs w:val="36"/>
        </w:rPr>
      </w:pPr>
      <w:r>
        <w:rPr>
          <w:rFonts w:ascii="宋体" w:eastAsia="宋体" w:hAnsi="宋体" w:cs="宋体" w:hint="eastAsia"/>
          <w:b/>
          <w:bCs/>
          <w:sz w:val="36"/>
          <w:szCs w:val="36"/>
        </w:rPr>
        <w:t>南县</w:t>
      </w:r>
      <w:r w:rsidR="008B3C0F">
        <w:rPr>
          <w:rFonts w:hint="eastAsia"/>
          <w:b/>
          <w:bCs/>
          <w:sz w:val="36"/>
          <w:szCs w:val="36"/>
        </w:rPr>
        <w:t>科学技术和工业信息化局</w:t>
      </w:r>
    </w:p>
    <w:p w:rsidR="00B03BD5" w:rsidRDefault="00C83D2E">
      <w:pPr>
        <w:jc w:val="center"/>
        <w:rPr>
          <w:rFonts w:ascii="宋体" w:eastAsia="宋体" w:hAnsi="宋体" w:cs="宋体"/>
          <w:b/>
          <w:bCs/>
          <w:sz w:val="36"/>
          <w:szCs w:val="36"/>
        </w:rPr>
      </w:pPr>
      <w:r>
        <w:rPr>
          <w:rFonts w:ascii="宋体" w:eastAsia="宋体" w:hAnsi="宋体" w:cs="宋体" w:hint="eastAsia"/>
          <w:b/>
          <w:bCs/>
          <w:sz w:val="36"/>
          <w:szCs w:val="36"/>
        </w:rPr>
        <w:t>2020年度项目支出绩效评价报告</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根据《南县财政局关于做好2020年度预算绩效自评工作的通知》（南财绩函[2021]3号）精神，为进一步规范财政资金管理，牢固树立预算绩效理念，切实提高财政资金使用效率，</w:t>
      </w:r>
      <w:r w:rsidR="00605DBA">
        <w:rPr>
          <w:rFonts w:ascii="仿宋_GB2312" w:eastAsia="仿宋_GB2312" w:hAnsi="仿宋_GB2312" w:cs="仿宋_GB2312" w:hint="eastAsia"/>
          <w:sz w:val="28"/>
          <w:szCs w:val="28"/>
        </w:rPr>
        <w:t>参照有关财政支出绩效评价指标体系，认真组织对项目支出绩效评价工作进行了认真的研究和部署，</w:t>
      </w:r>
      <w:r>
        <w:rPr>
          <w:rFonts w:ascii="仿宋_GB2312" w:eastAsia="仿宋_GB2312" w:hAnsi="仿宋_GB2312" w:cs="仿宋_GB2312" w:hint="eastAsia"/>
          <w:sz w:val="28"/>
          <w:szCs w:val="28"/>
        </w:rPr>
        <w:t>现将</w:t>
      </w:r>
      <w:r w:rsidR="00605DBA">
        <w:rPr>
          <w:rFonts w:ascii="仿宋_GB2312" w:eastAsia="仿宋_GB2312" w:hAnsi="仿宋_GB2312" w:cs="仿宋_GB2312" w:hint="eastAsia"/>
          <w:sz w:val="28"/>
          <w:szCs w:val="28"/>
        </w:rPr>
        <w:t>2020年南县</w:t>
      </w:r>
      <w:r w:rsidR="00605DBA" w:rsidRPr="00391694">
        <w:rPr>
          <w:rFonts w:ascii="仿宋_GB2312" w:eastAsia="仿宋_GB2312" w:hAnsi="仿宋_GB2312" w:cs="仿宋_GB2312" w:hint="eastAsia"/>
          <w:sz w:val="28"/>
          <w:szCs w:val="28"/>
        </w:rPr>
        <w:t>科学技术和工业信息化局</w:t>
      </w:r>
      <w:r w:rsidR="00605DBA">
        <w:rPr>
          <w:rFonts w:ascii="仿宋_GB2312" w:eastAsia="仿宋_GB2312" w:hAnsi="仿宋_GB2312" w:cs="仿宋_GB2312" w:hint="eastAsia"/>
          <w:sz w:val="28"/>
          <w:szCs w:val="28"/>
        </w:rPr>
        <w:t>专项资金</w:t>
      </w:r>
      <w:r w:rsidR="00D86A2E" w:rsidRPr="00D86A2E">
        <w:rPr>
          <w:rFonts w:ascii="仿宋_GB2312" w:eastAsia="仿宋_GB2312" w:hAnsi="仿宋_GB2312" w:cs="仿宋_GB2312" w:hint="eastAsia"/>
          <w:sz w:val="28"/>
          <w:szCs w:val="28"/>
        </w:rPr>
        <w:t>绩效</w:t>
      </w:r>
      <w:r w:rsidR="00605DBA">
        <w:rPr>
          <w:rFonts w:ascii="仿宋_GB2312" w:eastAsia="仿宋_GB2312" w:hAnsi="仿宋_GB2312" w:cs="仿宋_GB2312" w:hint="eastAsia"/>
          <w:sz w:val="28"/>
          <w:szCs w:val="28"/>
        </w:rPr>
        <w:t>评价</w:t>
      </w:r>
      <w:r>
        <w:rPr>
          <w:rFonts w:ascii="仿宋_GB2312" w:eastAsia="仿宋_GB2312" w:hAnsi="仿宋_GB2312" w:cs="仿宋_GB2312" w:hint="eastAsia"/>
          <w:sz w:val="28"/>
          <w:szCs w:val="28"/>
        </w:rPr>
        <w:t>有关情况报告如下:</w:t>
      </w:r>
      <w:bookmarkStart w:id="0" w:name="_GoBack"/>
      <w:bookmarkEnd w:id="0"/>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一、项目基本情况</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（一）项目基本情况简介</w:t>
      </w:r>
    </w:p>
    <w:p w:rsidR="00B03BD5" w:rsidRDefault="0039169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南县</w:t>
      </w:r>
      <w:r w:rsidRPr="00391694">
        <w:rPr>
          <w:rFonts w:ascii="仿宋_GB2312" w:eastAsia="仿宋_GB2312" w:hAnsi="仿宋_GB2312" w:cs="仿宋_GB2312" w:hint="eastAsia"/>
          <w:sz w:val="28"/>
          <w:szCs w:val="28"/>
        </w:rPr>
        <w:t>科学技术和工业信息化局</w:t>
      </w:r>
      <w:r w:rsidR="00C83D2E">
        <w:rPr>
          <w:rFonts w:ascii="仿宋_GB2312" w:eastAsia="仿宋_GB2312" w:hAnsi="仿宋_GB2312" w:cs="仿宋_GB2312" w:hint="eastAsia"/>
          <w:sz w:val="28"/>
          <w:szCs w:val="28"/>
        </w:rPr>
        <w:t>2020年参与绩效评价的项目共</w:t>
      </w:r>
      <w:r w:rsidR="00B17043">
        <w:rPr>
          <w:rFonts w:ascii="仿宋_GB2312" w:eastAsia="仿宋_GB2312" w:hAnsi="仿宋_GB2312" w:cs="仿宋_GB2312" w:hint="eastAsia"/>
          <w:sz w:val="28"/>
          <w:szCs w:val="28"/>
        </w:rPr>
        <w:t>5</w:t>
      </w:r>
      <w:r w:rsidR="00C83D2E">
        <w:rPr>
          <w:rFonts w:ascii="仿宋_GB2312" w:eastAsia="仿宋_GB2312" w:hAnsi="仿宋_GB2312" w:cs="仿宋_GB2312" w:hint="eastAsia"/>
          <w:sz w:val="28"/>
          <w:szCs w:val="28"/>
        </w:rPr>
        <w:t>个，项目支出</w:t>
      </w:r>
      <w:r w:rsidR="00B17043">
        <w:rPr>
          <w:rFonts w:ascii="仿宋_GB2312" w:eastAsia="仿宋_GB2312" w:hAnsi="仿宋_GB2312" w:cs="仿宋_GB2312" w:hint="eastAsia"/>
          <w:sz w:val="28"/>
          <w:szCs w:val="28"/>
        </w:rPr>
        <w:t>55.8</w:t>
      </w:r>
      <w:r w:rsidR="00C83D2E">
        <w:rPr>
          <w:rFonts w:ascii="仿宋_GB2312" w:eastAsia="仿宋_GB2312" w:hAnsi="仿宋_GB2312" w:cs="仿宋_GB2312" w:hint="eastAsia"/>
          <w:sz w:val="28"/>
          <w:szCs w:val="28"/>
        </w:rPr>
        <w:t>万元。其中：</w:t>
      </w:r>
    </w:p>
    <w:p w:rsidR="00B17043" w:rsidRDefault="00B17043" w:rsidP="00B1704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招商引资、立项争资工作经费6.8万元，主要用于单位立项争资发生的各项费用。</w:t>
      </w:r>
    </w:p>
    <w:p w:rsidR="00B17043" w:rsidRPr="00B17043" w:rsidRDefault="00B17043" w:rsidP="00B1704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维稳工作、留守工作</w:t>
      </w:r>
      <w:r w:rsidR="00C83D2E">
        <w:rPr>
          <w:rFonts w:ascii="仿宋_GB2312" w:eastAsia="仿宋_GB2312" w:hAnsi="仿宋_GB2312" w:cs="仿宋_GB2312" w:hint="eastAsia"/>
          <w:sz w:val="28"/>
          <w:szCs w:val="28"/>
        </w:rPr>
        <w:t>经费</w:t>
      </w:r>
      <w:r>
        <w:rPr>
          <w:rFonts w:ascii="仿宋_GB2312" w:eastAsia="仿宋_GB2312" w:hAnsi="仿宋_GB2312" w:cs="仿宋_GB2312" w:hint="eastAsia"/>
          <w:sz w:val="28"/>
          <w:szCs w:val="28"/>
        </w:rPr>
        <w:t>14</w:t>
      </w:r>
      <w:r w:rsidR="00C83D2E">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，主要</w:t>
      </w:r>
      <w:r w:rsidRPr="00B17043">
        <w:rPr>
          <w:rFonts w:ascii="仿宋_GB2312" w:eastAsia="仿宋_GB2312" w:hAnsi="仿宋_GB2312" w:cs="仿宋_GB2312" w:hint="eastAsia"/>
          <w:sz w:val="28"/>
          <w:szCs w:val="28"/>
        </w:rPr>
        <w:t>用于单位维稳工作和留守工作的的工作经费</w:t>
      </w:r>
      <w:r>
        <w:rPr>
          <w:rFonts w:ascii="仿宋_GB2312" w:eastAsia="仿宋_GB2312" w:hAnsi="仿宋_GB2312" w:cs="仿宋_GB2312" w:hint="eastAsia"/>
          <w:sz w:val="28"/>
          <w:szCs w:val="28"/>
        </w:rPr>
        <w:t>。</w:t>
      </w:r>
    </w:p>
    <w:p w:rsidR="00B17043" w:rsidRPr="00D5368E" w:rsidRDefault="00B17043" w:rsidP="00D5368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鑫源纺织厂、印刷厂留守工作经费10万元，主要</w:t>
      </w:r>
      <w:r w:rsidRPr="00B17043">
        <w:rPr>
          <w:rFonts w:ascii="仿宋_GB2312" w:eastAsia="仿宋_GB2312" w:hAnsi="仿宋_GB2312" w:cs="仿宋_GB2312" w:hint="eastAsia"/>
          <w:sz w:val="28"/>
          <w:szCs w:val="28"/>
        </w:rPr>
        <w:t>用于鑫源厂、印刷厂的留守工作经费</w:t>
      </w:r>
      <w:r>
        <w:rPr>
          <w:rFonts w:ascii="仿宋_GB2312" w:eastAsia="仿宋_GB2312" w:hAnsi="仿宋_GB2312" w:cs="仿宋_GB2312" w:hint="eastAsia"/>
          <w:sz w:val="28"/>
          <w:szCs w:val="28"/>
        </w:rPr>
        <w:t>。</w:t>
      </w:r>
    </w:p>
    <w:p w:rsidR="00B17043" w:rsidRDefault="00B17043" w:rsidP="00B1704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推新工作、高新技术培育工作经费</w:t>
      </w:r>
      <w:r w:rsidR="00C83D2E">
        <w:rPr>
          <w:rFonts w:ascii="仿宋_GB2312" w:eastAsia="仿宋_GB2312" w:hAnsi="仿宋_GB2312" w:cs="仿宋_GB2312" w:hint="eastAsia"/>
          <w:sz w:val="28"/>
          <w:szCs w:val="28"/>
        </w:rPr>
        <w:t>8万元。</w:t>
      </w:r>
      <w:r w:rsidRPr="00B17043">
        <w:rPr>
          <w:rFonts w:ascii="仿宋_GB2312" w:eastAsia="仿宋_GB2312" w:hAnsi="仿宋_GB2312" w:cs="仿宋_GB2312" w:hint="eastAsia"/>
          <w:sz w:val="28"/>
          <w:szCs w:val="28"/>
        </w:rPr>
        <w:t>用于</w:t>
      </w:r>
      <w:r>
        <w:rPr>
          <w:rFonts w:ascii="仿宋_GB2312" w:eastAsia="仿宋_GB2312" w:hAnsi="仿宋_GB2312" w:cs="仿宋_GB2312" w:hint="eastAsia"/>
          <w:sz w:val="28"/>
          <w:szCs w:val="28"/>
        </w:rPr>
        <w:t>生产运行股</w:t>
      </w:r>
      <w:r w:rsidRPr="00B17043">
        <w:rPr>
          <w:rFonts w:ascii="仿宋_GB2312" w:eastAsia="仿宋_GB2312" w:hAnsi="仿宋_GB2312" w:cs="仿宋_GB2312" w:hint="eastAsia"/>
          <w:sz w:val="28"/>
          <w:szCs w:val="28"/>
        </w:rPr>
        <w:t>推新工作</w:t>
      </w:r>
      <w:r w:rsidR="00D5368E">
        <w:rPr>
          <w:rFonts w:ascii="仿宋_GB2312" w:eastAsia="仿宋_GB2312" w:hAnsi="仿宋_GB2312" w:cs="仿宋_GB2312" w:hint="eastAsia"/>
          <w:sz w:val="28"/>
          <w:szCs w:val="28"/>
        </w:rPr>
        <w:t>和科技管理股高新技术培育的</w:t>
      </w:r>
      <w:r w:rsidRPr="00B17043">
        <w:rPr>
          <w:rFonts w:ascii="仿宋_GB2312" w:eastAsia="仿宋_GB2312" w:hAnsi="仿宋_GB2312" w:cs="仿宋_GB2312" w:hint="eastAsia"/>
          <w:sz w:val="28"/>
          <w:szCs w:val="28"/>
        </w:rPr>
        <w:t>工作经费</w:t>
      </w:r>
      <w:r w:rsidR="00D5368E">
        <w:rPr>
          <w:rFonts w:ascii="仿宋_GB2312" w:eastAsia="仿宋_GB2312" w:hAnsi="仿宋_GB2312" w:cs="仿宋_GB2312" w:hint="eastAsia"/>
          <w:sz w:val="28"/>
          <w:szCs w:val="28"/>
        </w:rPr>
        <w:t>。</w:t>
      </w:r>
    </w:p>
    <w:p w:rsidR="00D5368E" w:rsidRPr="00D5368E" w:rsidRDefault="00D5368E" w:rsidP="00D5368E">
      <w:pPr>
        <w:rPr>
          <w:rFonts w:ascii="宋体" w:eastAsia="宋体" w:hAnsi="宋体" w:cs="宋体"/>
          <w:kern w:val="0"/>
          <w:sz w:val="18"/>
          <w:szCs w:val="18"/>
        </w:rPr>
      </w:pPr>
      <w:r>
        <w:rPr>
          <w:rFonts w:hint="eastAsia"/>
        </w:rPr>
        <w:t xml:space="preserve">  </w:t>
      </w:r>
      <w:r w:rsidRPr="00D5368E">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Pr="00D5368E">
        <w:rPr>
          <w:rFonts w:ascii="仿宋_GB2312" w:eastAsia="仿宋_GB2312" w:hAnsi="仿宋_GB2312" w:cs="仿宋_GB2312" w:hint="eastAsia"/>
          <w:sz w:val="28"/>
          <w:szCs w:val="28"/>
        </w:rPr>
        <w:t>建材厂留守工作经费</w:t>
      </w:r>
      <w:r>
        <w:rPr>
          <w:rFonts w:ascii="仿宋_GB2312" w:eastAsia="仿宋_GB2312" w:hAnsi="仿宋_GB2312" w:cs="仿宋_GB2312" w:hint="eastAsia"/>
          <w:sz w:val="28"/>
          <w:szCs w:val="28"/>
        </w:rPr>
        <w:t>17万元，</w:t>
      </w:r>
      <w:r w:rsidRPr="00D5368E">
        <w:rPr>
          <w:rFonts w:ascii="仿宋_GB2312" w:eastAsia="仿宋_GB2312" w:hAnsi="仿宋_GB2312" w:cs="仿宋_GB2312" w:hint="eastAsia"/>
          <w:sz w:val="28"/>
          <w:szCs w:val="28"/>
        </w:rPr>
        <w:t>用于</w:t>
      </w:r>
      <w:r>
        <w:rPr>
          <w:rFonts w:ascii="仿宋_GB2312" w:eastAsia="仿宋_GB2312" w:hAnsi="仿宋_GB2312" w:cs="仿宋_GB2312" w:hint="eastAsia"/>
          <w:sz w:val="28"/>
          <w:szCs w:val="28"/>
        </w:rPr>
        <w:t>改制企业</w:t>
      </w:r>
      <w:r w:rsidRPr="00D5368E">
        <w:rPr>
          <w:rFonts w:ascii="仿宋_GB2312" w:eastAsia="仿宋_GB2312" w:hAnsi="仿宋_GB2312" w:cs="仿宋_GB2312" w:hint="eastAsia"/>
          <w:sz w:val="28"/>
          <w:szCs w:val="28"/>
        </w:rPr>
        <w:t>湖南建材厂</w:t>
      </w:r>
      <w:r>
        <w:rPr>
          <w:rFonts w:ascii="仿宋_GB2312" w:eastAsia="仿宋_GB2312" w:hAnsi="仿宋_GB2312" w:cs="仿宋_GB2312" w:hint="eastAsia"/>
          <w:sz w:val="28"/>
          <w:szCs w:val="28"/>
        </w:rPr>
        <w:t>遗留问题</w:t>
      </w:r>
      <w:r w:rsidRPr="00D5368E">
        <w:rPr>
          <w:rFonts w:ascii="仿宋_GB2312" w:eastAsia="仿宋_GB2312" w:hAnsi="仿宋_GB2312" w:cs="仿宋_GB2312" w:hint="eastAsia"/>
          <w:sz w:val="28"/>
          <w:szCs w:val="28"/>
        </w:rPr>
        <w:t>的留守工作经费</w:t>
      </w:r>
      <w:r>
        <w:rPr>
          <w:rFonts w:ascii="仿宋_GB2312" w:eastAsia="仿宋_GB2312" w:hAnsi="仿宋_GB2312" w:cs="仿宋_GB2312" w:hint="eastAsia"/>
          <w:sz w:val="28"/>
          <w:szCs w:val="28"/>
        </w:rPr>
        <w:t>。</w:t>
      </w:r>
    </w:p>
    <w:p w:rsidR="00D5368E" w:rsidRPr="00D5368E" w:rsidRDefault="00D5368E" w:rsidP="00D5368E">
      <w:pPr>
        <w:pStyle w:val="1"/>
      </w:pP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（二）绩效目标设定及指标完成情况</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2020年度我局坚决履行职能职责，有效完成了本年度绩效目标。</w:t>
      </w:r>
      <w:r>
        <w:rPr>
          <w:rFonts w:ascii="仿宋_GB2312" w:eastAsia="仿宋_GB2312" w:hAnsi="仿宋_GB2312" w:cs="仿宋_GB2312" w:hint="eastAsia"/>
          <w:sz w:val="28"/>
          <w:szCs w:val="28"/>
        </w:rPr>
        <w:t>提高经济效益，节约成本，创造社会效益，全面推动全县</w:t>
      </w:r>
      <w:r w:rsidR="00F20752">
        <w:rPr>
          <w:rFonts w:ascii="仿宋_GB2312" w:eastAsia="仿宋_GB2312" w:hAnsi="仿宋_GB2312" w:cs="仿宋_GB2312" w:hint="eastAsia"/>
          <w:sz w:val="28"/>
          <w:szCs w:val="28"/>
        </w:rPr>
        <w:t>工业企业发展</w:t>
      </w:r>
      <w:r>
        <w:rPr>
          <w:rFonts w:ascii="仿宋_GB2312" w:eastAsia="仿宋_GB2312" w:hAnsi="仿宋_GB2312" w:cs="仿宋_GB2312" w:hint="eastAsia"/>
          <w:sz w:val="28"/>
          <w:szCs w:val="28"/>
        </w:rPr>
        <w:t>。</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b/>
          <w:bCs/>
          <w:sz w:val="28"/>
          <w:szCs w:val="28"/>
        </w:rPr>
        <w:t>二、绩效评价工作情况</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b/>
          <w:bCs/>
          <w:sz w:val="28"/>
          <w:szCs w:val="28"/>
        </w:rPr>
        <w:t>（一）绩效评价目的</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通过绩效评价全面分析该项目资金使用、管理和项目实施情况，进一步规范专项经费使用、管理制度，强化财政资金支出绩效理念，切实提高财政资金使用效益。</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b/>
          <w:bCs/>
          <w:sz w:val="28"/>
          <w:szCs w:val="28"/>
        </w:rPr>
        <w:t>（二）项目资金安排落实、总投入等情况分析，项目资金实际使用等情况分析</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2020年县本级预算安排专项资金</w:t>
      </w:r>
      <w:r w:rsidR="00054F17">
        <w:rPr>
          <w:rFonts w:ascii="仿宋_GB2312" w:eastAsia="仿宋_GB2312" w:hAnsi="仿宋_GB2312" w:cs="仿宋_GB2312" w:hint="eastAsia"/>
          <w:sz w:val="28"/>
          <w:szCs w:val="28"/>
        </w:rPr>
        <w:t>55.8</w:t>
      </w:r>
      <w:r>
        <w:rPr>
          <w:rFonts w:ascii="仿宋_GB2312" w:eastAsia="仿宋_GB2312" w:hAnsi="仿宋_GB2312" w:cs="仿宋_GB2312"/>
          <w:sz w:val="28"/>
          <w:szCs w:val="28"/>
        </w:rPr>
        <w:t>万元，由县本级财政全额拨款。该项目实际使用资金</w:t>
      </w:r>
      <w:r w:rsidR="00054F17">
        <w:rPr>
          <w:rFonts w:ascii="仿宋_GB2312" w:eastAsia="仿宋_GB2312" w:hAnsi="仿宋_GB2312" w:cs="仿宋_GB2312" w:hint="eastAsia"/>
          <w:sz w:val="28"/>
          <w:szCs w:val="28"/>
        </w:rPr>
        <w:t>55.8</w:t>
      </w:r>
      <w:r>
        <w:rPr>
          <w:rFonts w:ascii="仿宋_GB2312" w:eastAsia="仿宋_GB2312" w:hAnsi="仿宋_GB2312" w:cs="仿宋_GB2312"/>
          <w:sz w:val="28"/>
          <w:szCs w:val="28"/>
        </w:rPr>
        <w:t>万元，资金使用率为100%。资金由财政局一次下达项目预算指标通知，我局再根据项目实施进度向县财政申请拨付。2020年项目资金已全部下拨并使用，下拨率和使用率100%。</w:t>
      </w:r>
    </w:p>
    <w:p w:rsidR="00B03BD5" w:rsidRDefault="00C83D2E" w:rsidP="008B3C0F">
      <w:pPr>
        <w:ind w:firstLineChars="100" w:firstLine="2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（三）项目组织情况分析</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（四）</w:t>
      </w:r>
      <w:r>
        <w:rPr>
          <w:rFonts w:ascii="仿宋_GB2312" w:eastAsia="仿宋_GB2312" w:hAnsi="仿宋_GB2312" w:cs="仿宋_GB2312"/>
          <w:b/>
          <w:bCs/>
          <w:sz w:val="28"/>
          <w:szCs w:val="28"/>
        </w:rPr>
        <w:t>项目管理情况分析</w:t>
      </w:r>
    </w:p>
    <w:p w:rsidR="00B03BD5" w:rsidRDefault="00C83D2E">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为进一步规范财政资金管理，强化财政资金支出绩效理念，切实提高财政资金使用效益，要求专项资金实行“专人管理、专户储存、专账核算、专项使用”的原则，由单位财务统一核算，专人负责资金及管理经费的支出审核与监管，提高财政资金使用效益。</w:t>
      </w:r>
    </w:p>
    <w:p w:rsidR="00B03BD5" w:rsidRDefault="00C83D2E" w:rsidP="008B3C0F">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三、项目绩效情况</w:t>
      </w:r>
    </w:p>
    <w:p w:rsidR="00B03BD5" w:rsidRDefault="00C83D2E" w:rsidP="008B3C0F">
      <w:pPr>
        <w:pStyle w:val="1"/>
        <w:ind w:firstLineChars="200" w:firstLine="560"/>
        <w:rPr>
          <w:rFonts w:hAnsi="仿宋_GB2312" w:cs="仿宋_GB2312"/>
          <w:sz w:val="28"/>
          <w:szCs w:val="28"/>
        </w:rPr>
      </w:pPr>
      <w:r>
        <w:rPr>
          <w:rFonts w:hAnsi="仿宋_GB2312" w:cs="仿宋_GB2312" w:hint="eastAsia"/>
          <w:b/>
          <w:bCs/>
          <w:sz w:val="28"/>
          <w:szCs w:val="28"/>
        </w:rPr>
        <w:t>（一）项目绩效评价工作开展情况。</w:t>
      </w:r>
      <w:r>
        <w:rPr>
          <w:rFonts w:hAnsi="仿宋_GB2312" w:cs="仿宋_GB2312" w:hint="eastAsia"/>
          <w:sz w:val="28"/>
          <w:szCs w:val="28"/>
        </w:rPr>
        <w:t>我局项目绩效评价选用的指标主要包括预算执行情况、财务管理状况以及社会效益等。采取单位绩效评价自评方式、运用成本效益法进行项目绩效评价。项目按照绩效目标的实施内容及工作要求实施完毕，执行情况较好，达到了预期绩效目标。根据项目自检自评，结合2020年项目支出绩效自评指标计分表打分，总得分为</w:t>
      </w:r>
      <w:r w:rsidR="00084726">
        <w:rPr>
          <w:rFonts w:hAnsi="仿宋_GB2312" w:cs="仿宋_GB2312" w:hint="eastAsia"/>
          <w:sz w:val="28"/>
          <w:szCs w:val="28"/>
        </w:rPr>
        <w:t>8</w:t>
      </w:r>
      <w:r w:rsidR="00054F17">
        <w:rPr>
          <w:rFonts w:hAnsi="仿宋_GB2312" w:cs="仿宋_GB2312" w:hint="eastAsia"/>
          <w:sz w:val="28"/>
          <w:szCs w:val="28"/>
        </w:rPr>
        <w:t>4</w:t>
      </w:r>
      <w:r>
        <w:rPr>
          <w:rFonts w:hAnsi="仿宋_GB2312" w:cs="仿宋_GB2312" w:hint="eastAsia"/>
          <w:sz w:val="28"/>
          <w:szCs w:val="28"/>
        </w:rPr>
        <w:t>分，绩效评价为“良好”。</w:t>
      </w:r>
    </w:p>
    <w:p w:rsidR="00B03BD5" w:rsidRDefault="00C83D2E">
      <w:pPr>
        <w:ind w:left="64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（二）项目绩效目标完成情况。</w:t>
      </w:r>
    </w:p>
    <w:p w:rsidR="00986E0D" w:rsidRDefault="00C83D2E" w:rsidP="00084726">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 </w:t>
      </w:r>
      <w:r w:rsidRPr="00084726">
        <w:rPr>
          <w:rFonts w:ascii="仿宋_GB2312" w:eastAsia="仿宋_GB2312" w:hAnsi="仿宋_GB2312" w:cs="仿宋_GB2312" w:hint="eastAsia"/>
          <w:b/>
          <w:bCs/>
          <w:sz w:val="28"/>
          <w:szCs w:val="28"/>
        </w:rPr>
        <w:t>（1）</w:t>
      </w:r>
      <w:r w:rsidR="00084726" w:rsidRPr="00084726">
        <w:rPr>
          <w:rFonts w:ascii="仿宋_GB2312" w:eastAsia="仿宋_GB2312" w:hAnsi="仿宋_GB2312" w:cs="仿宋_GB2312" w:hint="eastAsia"/>
          <w:b/>
          <w:sz w:val="28"/>
          <w:szCs w:val="28"/>
        </w:rPr>
        <w:t>扎实开展矛盾纠纷排查调处工作和重点人员和群体的吸附稳定工作。</w:t>
      </w:r>
      <w:r w:rsidR="00084726" w:rsidRPr="00084726">
        <w:rPr>
          <w:rFonts w:ascii="仿宋_GB2312" w:eastAsia="仿宋_GB2312" w:hAnsi="仿宋_GB2312" w:cs="仿宋_GB2312" w:hint="eastAsia"/>
          <w:sz w:val="28"/>
          <w:szCs w:val="28"/>
        </w:rPr>
        <w:t>今年在各级“两会”、国庆等重大活动特护期内我系统人员未发生赴省进京聚访、集访现象。在接待调处群体性上访工作上措施得力，方法妥当，尖锐矛盾得到了相对暂时的遏制和化解，基本持续了平稳，力所能及地维护了本系统的相对稳定。</w:t>
      </w:r>
    </w:p>
    <w:p w:rsidR="00B03BD5" w:rsidRDefault="00084726" w:rsidP="00084726">
      <w:pPr>
        <w:spacing w:line="580" w:lineRule="exact"/>
        <w:ind w:firstLineChars="200" w:firstLine="560"/>
        <w:rPr>
          <w:rFonts w:ascii="仿宋_GB2312" w:eastAsia="仿宋_GB2312" w:hAnsi="仿宋_GB2312" w:cs="仿宋_GB2312"/>
          <w:sz w:val="28"/>
          <w:szCs w:val="28"/>
        </w:rPr>
      </w:pPr>
      <w:r w:rsidRPr="00084726">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sidRPr="00084726">
        <w:rPr>
          <w:rFonts w:ascii="仿宋_GB2312" w:eastAsia="仿宋_GB2312" w:hAnsi="仿宋_GB2312" w:cs="仿宋_GB2312" w:hint="eastAsia"/>
          <w:sz w:val="28"/>
          <w:szCs w:val="28"/>
        </w:rPr>
        <w:t>）</w:t>
      </w:r>
      <w:r w:rsidRPr="00084726">
        <w:rPr>
          <w:rFonts w:ascii="仿宋_GB2312" w:eastAsia="仿宋_GB2312" w:hAnsi="仿宋_GB2312" w:cs="仿宋_GB2312" w:hint="eastAsia"/>
          <w:b/>
          <w:sz w:val="28"/>
          <w:szCs w:val="28"/>
        </w:rPr>
        <w:t>信访事项办结工作成效显著。</w:t>
      </w:r>
      <w:r w:rsidRPr="00084726">
        <w:rPr>
          <w:rFonts w:ascii="仿宋_GB2312" w:eastAsia="仿宋_GB2312" w:hAnsi="仿宋_GB2312" w:cs="仿宋_GB2312" w:hint="eastAsia"/>
          <w:sz w:val="28"/>
          <w:szCs w:val="28"/>
        </w:rPr>
        <w:t>共处理今年各级转交信访件7件。这些信访件都按要求及时处理回复，做到了件件有落实，事事有回音。</w:t>
      </w:r>
    </w:p>
    <w:p w:rsidR="00986E0D" w:rsidRPr="00986E0D" w:rsidRDefault="00C83D2E" w:rsidP="008B3C0F">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sidR="00986E0D">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w:t>
      </w:r>
      <w:r w:rsidR="00986E0D" w:rsidRPr="00986E0D">
        <w:rPr>
          <w:rFonts w:ascii="仿宋_GB2312" w:eastAsia="仿宋_GB2312" w:hAnsi="仿宋_GB2312" w:cs="仿宋_GB2312" w:hint="eastAsia"/>
          <w:b/>
          <w:sz w:val="28"/>
          <w:szCs w:val="28"/>
        </w:rPr>
        <w:t>营商环境大优化政策落地见效行动。</w:t>
      </w:r>
      <w:r w:rsidR="00986E0D" w:rsidRPr="00986E0D">
        <w:rPr>
          <w:rFonts w:ascii="仿宋_GB2312" w:eastAsia="仿宋_GB2312" w:hAnsi="仿宋_GB2312" w:cs="仿宋_GB2312" w:hint="eastAsia"/>
          <w:sz w:val="28"/>
          <w:szCs w:val="28"/>
        </w:rPr>
        <w:t>积极落实《益阳市营商环境大优化行动方案》《益阳市营商环境大优化政策落地见效行动</w:t>
      </w:r>
      <w:r w:rsidR="00986E0D" w:rsidRPr="00986E0D">
        <w:rPr>
          <w:rFonts w:ascii="仿宋_GB2312" w:eastAsia="仿宋_GB2312" w:hAnsi="仿宋_GB2312" w:cs="仿宋_GB2312" w:hint="eastAsia"/>
          <w:sz w:val="28"/>
          <w:szCs w:val="28"/>
        </w:rPr>
        <w:lastRenderedPageBreak/>
        <w:t>实施方案》等文件精神，围绕加大惠企政策宣传、清理规范涉企政策、全面落实人才政策、落实企业降本措施、全面打造诚信政府等任务开展工作，帮助实体经济应对疫情冲击，持续激发市场活力和社会创造力</w:t>
      </w:r>
    </w:p>
    <w:p w:rsidR="00986E0D" w:rsidRPr="00986E0D" w:rsidRDefault="00C83D2E" w:rsidP="008B3C0F">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sidR="00986E0D">
        <w:rPr>
          <w:rFonts w:ascii="仿宋_GB2312" w:eastAsia="仿宋_GB2312" w:hAnsi="仿宋_GB2312" w:cs="仿宋_GB2312" w:hint="eastAsia"/>
          <w:b/>
          <w:bCs/>
          <w:sz w:val="28"/>
          <w:szCs w:val="28"/>
        </w:rPr>
        <w:t>4）</w:t>
      </w:r>
      <w:r w:rsidR="00986E0D" w:rsidRPr="00986E0D">
        <w:rPr>
          <w:rFonts w:ascii="仿宋_GB2312" w:eastAsia="仿宋_GB2312" w:hAnsi="仿宋_GB2312" w:cs="仿宋_GB2312" w:hint="eastAsia"/>
          <w:b/>
          <w:sz w:val="28"/>
          <w:szCs w:val="28"/>
        </w:rPr>
        <w:t>全县规模</w:t>
      </w:r>
      <w:r w:rsidR="00986E0D" w:rsidRPr="00986E0D">
        <w:rPr>
          <w:rFonts w:ascii="仿宋_GB2312" w:eastAsia="仿宋_GB2312" w:hAnsi="仿宋_GB2312" w:cs="仿宋_GB2312"/>
          <w:b/>
          <w:sz w:val="28"/>
          <w:szCs w:val="28"/>
        </w:rPr>
        <w:t>企业产值平稳增加</w:t>
      </w:r>
      <w:r w:rsidR="00986E0D" w:rsidRPr="00986E0D">
        <w:rPr>
          <w:rFonts w:ascii="仿宋_GB2312" w:eastAsia="仿宋_GB2312" w:hAnsi="仿宋_GB2312" w:cs="仿宋_GB2312" w:hint="eastAsia"/>
          <w:b/>
          <w:sz w:val="28"/>
          <w:szCs w:val="28"/>
        </w:rPr>
        <w:t>。</w:t>
      </w:r>
      <w:r w:rsidR="00986E0D" w:rsidRPr="00986E0D">
        <w:rPr>
          <w:rFonts w:ascii="仿宋_GB2312" w:eastAsia="仿宋_GB2312" w:hAnsi="仿宋_GB2312" w:cs="仿宋_GB2312" w:hint="eastAsia"/>
          <w:sz w:val="28"/>
          <w:szCs w:val="28"/>
        </w:rPr>
        <w:t>2020年完成规模工业产值127.3亿元，增速3.83%；增加值27亿元，增速6.4%，市统计局核对最后增速为4.6%，全市排名第三；完成高新技术产值88亿元，完成高新技术增加值18.59亿元，占规模工业企业增加值68.85%；工业上报研发费用5.28亿；完成规模工业税收1.86亿元，增速15.37%；新入规企业13家，全县规上工业企业数达到</w:t>
      </w:r>
      <w:r w:rsidR="00986E0D" w:rsidRPr="00E60CBB">
        <w:rPr>
          <w:rFonts w:ascii="仿宋_GB2312" w:eastAsia="仿宋_GB2312" w:hAnsi="仿宋_GB2312" w:cs="仿宋_GB2312" w:hint="eastAsia"/>
          <w:sz w:val="28"/>
          <w:szCs w:val="28"/>
        </w:rPr>
        <w:t>100家。</w:t>
      </w:r>
    </w:p>
    <w:p w:rsidR="00B03BD5" w:rsidRPr="00E60CBB" w:rsidRDefault="00C83D2E" w:rsidP="00FC1767">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sidR="00E60CBB">
        <w:rPr>
          <w:rFonts w:ascii="仿宋_GB2312" w:eastAsia="仿宋_GB2312" w:hAnsi="仿宋_GB2312" w:cs="仿宋_GB2312" w:hint="eastAsia"/>
          <w:b/>
          <w:bCs/>
          <w:sz w:val="28"/>
          <w:szCs w:val="28"/>
        </w:rPr>
        <w:t>5</w:t>
      </w:r>
      <w:r>
        <w:rPr>
          <w:rFonts w:ascii="仿宋_GB2312" w:eastAsia="仿宋_GB2312" w:hAnsi="仿宋_GB2312" w:cs="仿宋_GB2312" w:hint="eastAsia"/>
          <w:b/>
          <w:bCs/>
          <w:sz w:val="28"/>
          <w:szCs w:val="28"/>
        </w:rPr>
        <w:t>）</w:t>
      </w:r>
      <w:r w:rsidR="00E60CBB">
        <w:rPr>
          <w:rFonts w:ascii="仿宋_GB2312" w:eastAsia="仿宋_GB2312" w:hAnsi="仿宋_GB2312" w:cs="仿宋_GB2312" w:hint="eastAsia"/>
          <w:b/>
          <w:bCs/>
          <w:sz w:val="28"/>
          <w:szCs w:val="28"/>
        </w:rPr>
        <w:t>国企中心工作</w:t>
      </w:r>
      <w:r>
        <w:rPr>
          <w:rFonts w:ascii="仿宋_GB2312" w:eastAsia="仿宋_GB2312" w:hAnsi="仿宋_GB2312" w:cs="仿宋_GB2312" w:hint="eastAsia"/>
          <w:b/>
          <w:bCs/>
          <w:sz w:val="28"/>
          <w:szCs w:val="28"/>
        </w:rPr>
        <w:t>稳步进行。</w:t>
      </w:r>
      <w:r w:rsidR="00E60CBB" w:rsidRPr="00E60CBB">
        <w:rPr>
          <w:rFonts w:ascii="仿宋_GB2312" w:eastAsia="仿宋_GB2312" w:hAnsi="仿宋_GB2312" w:cs="仿宋_GB2312" w:hint="eastAsia"/>
          <w:sz w:val="28"/>
          <w:szCs w:val="28"/>
        </w:rPr>
        <w:t>完成了2020年企业职工社保缴纳工作，共605人，上缴社保资金457万多元。基本完成企业职工医疗门诊补助的发放工作。今年，除死亡职工外的其他所有职工的医疗门诊补助全部实行银行打卡发放，目前共发放3436人，262万多元，待发放170余人。审核职工医疗补差30人，8万多元</w:t>
      </w:r>
      <w:r w:rsidR="00E60CBB">
        <w:rPr>
          <w:rFonts w:ascii="仿宋_GB2312" w:eastAsia="仿宋_GB2312" w:hAnsi="仿宋_GB2312" w:cs="仿宋_GB2312" w:hint="eastAsia"/>
          <w:sz w:val="28"/>
          <w:szCs w:val="28"/>
        </w:rPr>
        <w:t>；</w:t>
      </w:r>
      <w:r w:rsidR="00E60CBB" w:rsidRPr="00E60CBB">
        <w:rPr>
          <w:rFonts w:ascii="仿宋_GB2312" w:eastAsia="仿宋_GB2312" w:hAnsi="仿宋_GB2312" w:cs="仿宋_GB2312" w:hint="eastAsia"/>
          <w:sz w:val="28"/>
          <w:szCs w:val="28"/>
        </w:rPr>
        <w:t>丝绸厂129户的拆迁补偿工作；目前补偿协议签订工作都已完成，现到帐500万元，已支付84户补偿金480多万元，其它45户等资金到位后再行支付。中心的统筹安排下，通过各留守企业工作人员加班加点的工作，从6月4日开始，直至8月3日，共完成了82位退役军人的养老保险费、5位退役军人的医疗保险费的补缴工作和304位退役军人的接待解释说明工作；10月中旬，又补充8位退役军人的社保接续资料，为保障退役军人这一块的稳定做了切实有效的工作。</w:t>
      </w:r>
    </w:p>
    <w:p w:rsidR="001E4FEA" w:rsidRPr="001E4FEA" w:rsidRDefault="00C83D2E" w:rsidP="001E4FEA">
      <w:pPr>
        <w:pStyle w:val="1"/>
        <w:ind w:firstLine="560"/>
        <w:rPr>
          <w:sz w:val="28"/>
          <w:szCs w:val="28"/>
        </w:rPr>
      </w:pPr>
      <w:r>
        <w:rPr>
          <w:rFonts w:hint="eastAsia"/>
          <w:b/>
          <w:bCs/>
          <w:sz w:val="28"/>
          <w:szCs w:val="28"/>
        </w:rPr>
        <w:t>（</w:t>
      </w:r>
      <w:r w:rsidR="00FC1767">
        <w:rPr>
          <w:rFonts w:hint="eastAsia"/>
          <w:b/>
          <w:bCs/>
          <w:sz w:val="28"/>
          <w:szCs w:val="28"/>
        </w:rPr>
        <w:t>6</w:t>
      </w:r>
      <w:r>
        <w:rPr>
          <w:rFonts w:hint="eastAsia"/>
          <w:b/>
          <w:bCs/>
          <w:sz w:val="28"/>
          <w:szCs w:val="28"/>
        </w:rPr>
        <w:t>）</w:t>
      </w:r>
      <w:r w:rsidR="001E4FEA" w:rsidRPr="00986E0D">
        <w:rPr>
          <w:rFonts w:hint="eastAsia"/>
          <w:b/>
          <w:sz w:val="28"/>
          <w:szCs w:val="28"/>
        </w:rPr>
        <w:t>稳步推进招商引资</w:t>
      </w:r>
      <w:r w:rsidR="00986E0D">
        <w:rPr>
          <w:rFonts w:hint="eastAsia"/>
          <w:b/>
          <w:sz w:val="28"/>
          <w:szCs w:val="28"/>
        </w:rPr>
        <w:t>、立项争资</w:t>
      </w:r>
      <w:r w:rsidR="001E4FEA" w:rsidRPr="00986E0D">
        <w:rPr>
          <w:rFonts w:hint="eastAsia"/>
          <w:b/>
          <w:sz w:val="28"/>
          <w:szCs w:val="28"/>
        </w:rPr>
        <w:t>工作。</w:t>
      </w:r>
      <w:r w:rsidR="001E4FEA" w:rsidRPr="001E4FEA">
        <w:rPr>
          <w:rFonts w:hint="eastAsia"/>
          <w:sz w:val="28"/>
          <w:szCs w:val="28"/>
        </w:rPr>
        <w:t>招商引资</w:t>
      </w:r>
      <w:r w:rsidR="00986E0D">
        <w:rPr>
          <w:rFonts w:hint="eastAsia"/>
          <w:sz w:val="28"/>
          <w:szCs w:val="28"/>
        </w:rPr>
        <w:t>、</w:t>
      </w:r>
      <w:r w:rsidR="00986E0D" w:rsidRPr="00986E0D">
        <w:rPr>
          <w:rFonts w:hint="eastAsia"/>
          <w:sz w:val="28"/>
          <w:szCs w:val="28"/>
        </w:rPr>
        <w:t>立项争资</w:t>
      </w:r>
      <w:r w:rsidR="001E4FEA" w:rsidRPr="001E4FEA">
        <w:rPr>
          <w:rFonts w:hint="eastAsia"/>
          <w:sz w:val="28"/>
          <w:szCs w:val="28"/>
        </w:rPr>
        <w:t>工作是促进地方经济振兴和发展的重要抓手，是促进社会发展的重要</w:t>
      </w:r>
      <w:r w:rsidR="001E4FEA" w:rsidRPr="001E4FEA">
        <w:rPr>
          <w:rFonts w:hint="eastAsia"/>
          <w:sz w:val="28"/>
          <w:szCs w:val="28"/>
        </w:rPr>
        <w:lastRenderedPageBreak/>
        <w:t>途径，为进一步推动招商引资工作，浓厚招商氛围，优化营商环境，我局招商引资工作在一把手的带领下，精准收集、科学甄别项目信息，全方位提供优质服务，促项目落地。整体来说，开展平稳，局面良好，对接企业近10家，涉及工业、农业加工业、建筑业、能源等行业。</w:t>
      </w:r>
      <w:r w:rsidR="001E4FEA" w:rsidRPr="001E4FEA">
        <w:rPr>
          <w:sz w:val="28"/>
          <w:szCs w:val="28"/>
        </w:rPr>
        <w:t>有效项目信息</w:t>
      </w:r>
      <w:r w:rsidR="001E4FEA" w:rsidRPr="001E4FEA">
        <w:rPr>
          <w:rFonts w:hint="eastAsia"/>
          <w:sz w:val="28"/>
          <w:szCs w:val="28"/>
        </w:rPr>
        <w:t>归集3</w:t>
      </w:r>
      <w:r w:rsidR="001E4FEA" w:rsidRPr="001E4FEA">
        <w:rPr>
          <w:sz w:val="28"/>
          <w:szCs w:val="28"/>
        </w:rPr>
        <w:t>个，</w:t>
      </w:r>
      <w:r w:rsidR="001E4FEA" w:rsidRPr="001E4FEA">
        <w:rPr>
          <w:rFonts w:hint="eastAsia"/>
          <w:sz w:val="28"/>
          <w:szCs w:val="28"/>
        </w:rPr>
        <w:t>在谈项目3个，落地项目2个，圆满地完成了县委、县政府安排的招商任务。</w:t>
      </w:r>
    </w:p>
    <w:p w:rsidR="00B03BD5" w:rsidRDefault="00C83D2E" w:rsidP="001E4FEA">
      <w:pPr>
        <w:pStyle w:val="1"/>
        <w:ind w:firstLineChars="200" w:firstLine="560"/>
        <w:rPr>
          <w:rFonts w:hAnsi="仿宋_GB2312" w:cs="仿宋_GB2312"/>
          <w:b/>
          <w:bCs/>
          <w:sz w:val="28"/>
          <w:szCs w:val="28"/>
        </w:rPr>
      </w:pPr>
      <w:r>
        <w:rPr>
          <w:rFonts w:hAnsi="仿宋_GB2312" w:cs="仿宋_GB2312" w:hint="eastAsia"/>
          <w:b/>
          <w:bCs/>
          <w:sz w:val="28"/>
          <w:szCs w:val="28"/>
        </w:rPr>
        <w:t>四、存在的问题</w:t>
      </w:r>
    </w:p>
    <w:p w:rsidR="00B03BD5" w:rsidRDefault="00C83D2E">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Pr>
          <w:rFonts w:ascii="仿宋_GB2312" w:eastAsia="仿宋_GB2312" w:hAnsi="仿宋_GB2312" w:cs="仿宋_GB2312"/>
          <w:sz w:val="28"/>
          <w:szCs w:val="28"/>
        </w:rPr>
        <w:t>资金使用欠规范。我局2020年在项目决策上合理，实施过程中领导重视，管理较规范，较好的达到了预期的绩效目标，但有些方面仍有不足，主要是对财政拨入的资金没有实施专户管理、没有单独入账，而是统收统付</w:t>
      </w:r>
      <w:r>
        <w:rPr>
          <w:rFonts w:ascii="仿宋_GB2312" w:eastAsia="仿宋_GB2312" w:hAnsi="仿宋_GB2312" w:cs="仿宋_GB2312" w:hint="eastAsia"/>
          <w:sz w:val="28"/>
          <w:szCs w:val="28"/>
        </w:rPr>
        <w:t>。</w:t>
      </w:r>
    </w:p>
    <w:p w:rsidR="00B03BD5" w:rsidRDefault="00C83D2E">
      <w:pPr>
        <w:pStyle w:val="1"/>
        <w:ind w:firstLineChars="200" w:firstLine="560"/>
        <w:rPr>
          <w:rFonts w:hAnsi="仿宋_GB2312" w:cs="仿宋_GB2312"/>
          <w:sz w:val="28"/>
          <w:szCs w:val="28"/>
        </w:rPr>
      </w:pPr>
      <w:r>
        <w:rPr>
          <w:rFonts w:hAnsi="仿宋_GB2312" w:cs="仿宋_GB2312" w:hint="eastAsia"/>
          <w:sz w:val="28"/>
          <w:szCs w:val="28"/>
        </w:rPr>
        <w:t>（二）项目支出绩效自评工作不够全面，绩效自评报告质量质量不高。</w:t>
      </w:r>
    </w:p>
    <w:p w:rsidR="00B03BD5" w:rsidRDefault="00C83D2E" w:rsidP="008B3C0F">
      <w:pPr>
        <w:pStyle w:val="1"/>
        <w:ind w:firstLineChars="200" w:firstLine="560"/>
        <w:rPr>
          <w:rFonts w:hAnsi="仿宋_GB2312" w:cs="仿宋_GB2312"/>
          <w:b/>
          <w:bCs/>
          <w:sz w:val="28"/>
          <w:szCs w:val="28"/>
        </w:rPr>
      </w:pPr>
      <w:r>
        <w:rPr>
          <w:rFonts w:hAnsi="仿宋_GB2312" w:cs="仿宋_GB2312" w:hint="eastAsia"/>
          <w:b/>
          <w:bCs/>
          <w:sz w:val="28"/>
          <w:szCs w:val="28"/>
        </w:rPr>
        <w:t>五、相关建议</w:t>
      </w:r>
    </w:p>
    <w:p w:rsidR="00B03BD5" w:rsidRDefault="00C83D2E">
      <w:pPr>
        <w:pStyle w:val="1"/>
        <w:ind w:firstLineChars="200" w:firstLine="560"/>
        <w:rPr>
          <w:rFonts w:hAnsi="仿宋_GB2312" w:cs="仿宋_GB2312"/>
          <w:sz w:val="28"/>
          <w:szCs w:val="28"/>
        </w:rPr>
      </w:pPr>
      <w:r>
        <w:rPr>
          <w:rFonts w:hAnsi="仿宋_GB2312" w:cs="仿宋_GB2312" w:hint="eastAsia"/>
          <w:sz w:val="28"/>
          <w:szCs w:val="28"/>
        </w:rPr>
        <w:t>建议财政部门多组织项目资金绩效评价的专业知识讲座和培训，让大家深入学习与绩效评价相关知识。</w:t>
      </w:r>
    </w:p>
    <w:p w:rsidR="00B03BD5" w:rsidRDefault="00B03BD5"/>
    <w:p w:rsidR="00B03BD5" w:rsidRDefault="00B03BD5">
      <w:pPr>
        <w:pStyle w:val="1"/>
      </w:pPr>
    </w:p>
    <w:p w:rsidR="00B03BD5" w:rsidRDefault="00B03BD5">
      <w:pPr>
        <w:pStyle w:val="1"/>
      </w:pPr>
    </w:p>
    <w:p w:rsidR="00B03BD5" w:rsidRDefault="00B03BD5">
      <w:pPr>
        <w:ind w:firstLineChars="200" w:firstLine="560"/>
        <w:rPr>
          <w:rFonts w:ascii="仿宋_GB2312" w:eastAsia="仿宋_GB2312" w:hAnsi="仿宋_GB2312" w:cs="仿宋_GB2312"/>
          <w:sz w:val="28"/>
          <w:szCs w:val="28"/>
        </w:rPr>
      </w:pPr>
    </w:p>
    <w:p w:rsidR="00B03BD5" w:rsidRDefault="00B03BD5">
      <w:pPr>
        <w:pStyle w:val="1"/>
        <w:rPr>
          <w:rFonts w:hAnsi="仿宋_GB2312" w:cs="仿宋_GB2312"/>
          <w:sz w:val="28"/>
          <w:szCs w:val="28"/>
        </w:rPr>
      </w:pPr>
    </w:p>
    <w:p w:rsidR="00B03BD5" w:rsidRDefault="00B03BD5">
      <w:pPr>
        <w:rPr>
          <w:rFonts w:ascii="仿宋_GB2312" w:eastAsia="仿宋_GB2312" w:hAnsi="仿宋_GB2312" w:cs="仿宋_GB2312"/>
          <w:sz w:val="28"/>
          <w:szCs w:val="28"/>
        </w:rPr>
      </w:pPr>
    </w:p>
    <w:p w:rsidR="00B03BD5" w:rsidRDefault="00B03BD5">
      <w:pPr>
        <w:pStyle w:val="1"/>
        <w:rPr>
          <w:rFonts w:hAnsi="仿宋_GB2312" w:cs="仿宋_GB2312"/>
          <w:sz w:val="28"/>
          <w:szCs w:val="28"/>
        </w:rPr>
      </w:pPr>
    </w:p>
    <w:p w:rsidR="00B03BD5" w:rsidRDefault="00B03BD5">
      <w:pPr>
        <w:rPr>
          <w:rFonts w:ascii="仿宋_GB2312" w:eastAsia="仿宋_GB2312" w:hAnsi="仿宋_GB2312" w:cs="仿宋_GB2312"/>
          <w:sz w:val="28"/>
          <w:szCs w:val="28"/>
        </w:rPr>
      </w:pPr>
    </w:p>
    <w:p w:rsidR="00B03BD5" w:rsidRDefault="00B03BD5">
      <w:pPr>
        <w:pStyle w:val="1"/>
        <w:rPr>
          <w:rFonts w:hAnsi="仿宋_GB2312" w:cs="仿宋_GB2312"/>
          <w:sz w:val="28"/>
          <w:szCs w:val="28"/>
        </w:rPr>
      </w:pPr>
    </w:p>
    <w:p w:rsidR="00B03BD5" w:rsidRDefault="00C83D2E">
      <w:pPr>
        <w:spacing w:line="560" w:lineRule="exact"/>
        <w:rPr>
          <w:rFonts w:ascii="黑体" w:eastAsia="黑体" w:hAnsi="黑体"/>
          <w:color w:val="000000"/>
          <w:sz w:val="28"/>
          <w:szCs w:val="28"/>
        </w:rPr>
      </w:pPr>
      <w:r>
        <w:rPr>
          <w:rFonts w:ascii="黑体" w:eastAsia="黑体" w:hAnsi="黑体" w:hint="eastAsia"/>
          <w:color w:val="000000"/>
          <w:sz w:val="28"/>
          <w:szCs w:val="28"/>
        </w:rPr>
        <w:t>附件1</w:t>
      </w:r>
    </w:p>
    <w:p w:rsidR="00B03BD5" w:rsidRDefault="00C83D2E">
      <w:pPr>
        <w:spacing w:line="600" w:lineRule="exact"/>
        <w:ind w:firstLine="880"/>
        <w:jc w:val="center"/>
        <w:rPr>
          <w:rFonts w:ascii="方正小标宋_GBK" w:eastAsia="方正小标宋_GBK" w:hAnsi="黑体"/>
          <w:color w:val="000000"/>
          <w:sz w:val="44"/>
          <w:szCs w:val="44"/>
        </w:rPr>
      </w:pPr>
      <w:r>
        <w:rPr>
          <w:rFonts w:ascii="方正小标宋_GBK" w:eastAsia="方正小标宋_GBK" w:hAnsi="黑体" w:hint="eastAsia"/>
          <w:color w:val="000000"/>
          <w:sz w:val="44"/>
          <w:szCs w:val="44"/>
        </w:rPr>
        <w:t>2020年项目支出绩效自评指标计分表</w:t>
      </w:r>
    </w:p>
    <w:p w:rsidR="00B03BD5" w:rsidRDefault="00B03BD5">
      <w:pPr>
        <w:spacing w:line="400" w:lineRule="exact"/>
        <w:ind w:firstLine="880"/>
        <w:jc w:val="center"/>
        <w:rPr>
          <w:rFonts w:ascii="方正小标宋_GBK" w:eastAsia="方正小标宋_GBK" w:hAnsi="黑体"/>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01"/>
        <w:gridCol w:w="848"/>
        <w:gridCol w:w="773"/>
        <w:gridCol w:w="712"/>
        <w:gridCol w:w="3136"/>
        <w:gridCol w:w="3760"/>
      </w:tblGrid>
      <w:tr w:rsidR="00B03BD5">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一级</w:t>
            </w:r>
          </w:p>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848"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二级</w:t>
            </w:r>
          </w:p>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三级</w:t>
            </w:r>
          </w:p>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自评分</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具体指标</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评价标准</w:t>
            </w:r>
          </w:p>
        </w:tc>
      </w:tr>
      <w:tr w:rsidR="00B03BD5">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决策</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20</w:t>
            </w:r>
            <w:r>
              <w:rPr>
                <w:rFonts w:ascii="宋体" w:hAnsi="宋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目标</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目标</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内容</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3136" w:type="dxa"/>
            <w:tcBorders>
              <w:top w:val="single" w:sz="4" w:space="0" w:color="auto"/>
              <w:left w:val="nil"/>
              <w:bottom w:val="single" w:sz="4" w:space="0" w:color="auto"/>
              <w:right w:val="single" w:sz="4" w:space="0" w:color="auto"/>
            </w:tcBorders>
            <w:vAlign w:val="center"/>
          </w:tcPr>
          <w:p w:rsidR="00B03BD5" w:rsidRDefault="00C83D2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设立了项目绩效目标；目标明确；目标细化；目标量化</w:t>
            </w:r>
          </w:p>
        </w:tc>
        <w:tc>
          <w:tcPr>
            <w:tcW w:w="3760" w:type="dxa"/>
            <w:tcBorders>
              <w:top w:val="single" w:sz="4" w:space="0" w:color="auto"/>
              <w:left w:val="nil"/>
              <w:bottom w:val="single" w:sz="4" w:space="0" w:color="auto"/>
              <w:right w:val="single" w:sz="4" w:space="0" w:color="auto"/>
            </w:tcBorders>
            <w:vAlign w:val="center"/>
          </w:tcPr>
          <w:p w:rsidR="00B03BD5" w:rsidRDefault="00C83D2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设有目标（</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03BD5" w:rsidRDefault="00C83D2E">
            <w:pPr>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目标明确（</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03BD5" w:rsidRDefault="00C83D2E">
            <w:pPr>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目标细化（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B03BD5" w:rsidRDefault="00C83D2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目标量化（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决策</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过程</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依据</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054F17">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有关法律法规的明确规定；某一经济社会发展规划；某部门年度工作计划；某一实际问题和需求</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符合法律法规（</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分）符合经济社会发展规划（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部门年度工作计划（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针对某一实际问题和需求（</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程序</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项目符合申报条件；申报、批复程序符合相关管理办法；项目调整履行了相应手续</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符合申报条件（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分）项目申报、批复程序符合管理办法（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项目调整履行了相应手续（</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资金</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办法</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根据需要制定的相关资金管理办法；管理办法中有明确资金分配办法；资金分配因素全面、合理</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有相应的资金管理办法（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办法健全、规范（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因素全面合理（</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结果</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资金分配符合相关管理办法；分配结果公平合理</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符合分配办法（</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分配公平合理（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03BD5">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资金</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到位</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到位率</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实际到位</w:t>
            </w:r>
            <w:r>
              <w:rPr>
                <w:rFonts w:ascii="仿宋_GB2312" w:eastAsia="仿宋_GB2312" w:hAnsi="宋体" w:hint="eastAsia"/>
                <w:color w:val="000000"/>
                <w:kern w:val="0"/>
                <w:sz w:val="20"/>
                <w:szCs w:val="20"/>
              </w:rPr>
              <w:t>/</w:t>
            </w:r>
            <w:r>
              <w:rPr>
                <w:rFonts w:ascii="宋体" w:hAnsi="宋体" w:hint="eastAsia"/>
                <w:color w:val="000000"/>
                <w:kern w:val="0"/>
                <w:sz w:val="20"/>
                <w:szCs w:val="20"/>
              </w:rPr>
              <w:t>计划到位</w:t>
            </w:r>
            <w:r>
              <w:rPr>
                <w:rFonts w:ascii="仿宋_GB2312" w:eastAsia="仿宋_GB2312" w:hAnsi="宋体" w:hint="eastAsia"/>
                <w:color w:val="000000"/>
                <w:kern w:val="0"/>
                <w:sz w:val="20"/>
                <w:szCs w:val="20"/>
              </w:rPr>
              <w:t>*100%</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根据项目资金的实际到位率计算得分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到位</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时效</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lastRenderedPageBreak/>
              <w:t>（</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资金及时到位；若未及时到位，是否影响项目进度</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到位及时（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不及时但未影响项目进度</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不及时并影响项目进度（</w:t>
            </w:r>
            <w:r>
              <w:rPr>
                <w:rFonts w:ascii="仿宋_GB2312" w:eastAsia="仿宋_GB2312" w:hAnsi="宋体" w:hint="eastAsia"/>
                <w:color w:val="000000"/>
                <w:kern w:val="0"/>
                <w:sz w:val="20"/>
                <w:szCs w:val="20"/>
              </w:rPr>
              <w:t>0.5</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资金</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管理</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资金</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使用</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7</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054F17">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支出依据合规，无虚列项目支出情况；无截留挤占挪用情况；无超标准开支情况；无超预算情况</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虚列套取扣</w:t>
            </w:r>
            <w:r>
              <w:rPr>
                <w:rFonts w:ascii="仿宋_GB2312" w:eastAsia="仿宋_GB2312" w:hAnsi="宋体" w:hint="eastAsia"/>
                <w:color w:val="000000"/>
                <w:kern w:val="0"/>
                <w:sz w:val="20"/>
                <w:szCs w:val="20"/>
              </w:rPr>
              <w:t>4-7</w:t>
            </w:r>
            <w:r>
              <w:rPr>
                <w:rFonts w:ascii="宋体" w:hAnsi="宋体" w:hint="eastAsia"/>
                <w:color w:val="000000"/>
                <w:kern w:val="0"/>
                <w:sz w:val="20"/>
                <w:szCs w:val="20"/>
              </w:rPr>
              <w:t xml:space="preserve">分 </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依据不合规扣</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截留、挤占、挪用扣</w:t>
            </w:r>
            <w:r>
              <w:rPr>
                <w:rFonts w:ascii="仿宋_GB2312" w:eastAsia="仿宋_GB2312" w:hAnsi="宋体" w:hint="eastAsia"/>
                <w:color w:val="000000"/>
                <w:kern w:val="0"/>
                <w:sz w:val="20"/>
                <w:szCs w:val="20"/>
              </w:rPr>
              <w:t>3-6</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超标准开支扣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超预算扣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财务</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管理</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资金管理、费用支出等制度健全；制度执行严格；会计核算规范</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财务制度健全（</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分）严格执行制度（</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分）会计核算规范（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组织</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实施</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组织</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机构</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242" w:hangingChars="100" w:hanging="2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r>
              <w:rPr>
                <w:rFonts w:ascii="仿宋_GB2312" w:hAnsi="宋体" w:hint="eastAsia"/>
                <w:color w:val="000000"/>
                <w:kern w:val="0"/>
                <w:sz w:val="20"/>
                <w:szCs w:val="20"/>
              </w:rPr>
              <w:t xml:space="preserve">  </w:t>
            </w: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实施</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054F17">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项目按计划开工；按计划进度开展；按计划完工</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按计划开工（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按计划开展（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按计划完工（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制度</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6</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项目管理制度健全；严格执行相关管理制度</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管理制度健全（</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制度执行严格（</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03BD5">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B03BD5" w:rsidRDefault="00B03BD5">
            <w:pPr>
              <w:widowControl/>
              <w:spacing w:line="260" w:lineRule="exact"/>
              <w:ind w:firstLine="400"/>
              <w:jc w:val="center"/>
              <w:rPr>
                <w:rFonts w:ascii="仿宋_GB2312" w:eastAsia="仿宋_GB2312" w:hAnsi="宋体" w:cs="宋体"/>
                <w:color w:val="000000"/>
                <w:kern w:val="0"/>
                <w:sz w:val="20"/>
                <w:szCs w:val="20"/>
              </w:rPr>
            </w:pPr>
          </w:p>
          <w:p w:rsidR="00B03BD5" w:rsidRDefault="00B03BD5">
            <w:pPr>
              <w:widowControl/>
              <w:spacing w:line="260" w:lineRule="exact"/>
              <w:ind w:firstLine="400"/>
              <w:jc w:val="center"/>
              <w:rPr>
                <w:rFonts w:ascii="仿宋_GB2312" w:hAnsi="宋体"/>
                <w:color w:val="000000"/>
                <w:kern w:val="0"/>
                <w:sz w:val="20"/>
                <w:szCs w:val="20"/>
              </w:rPr>
            </w:pPr>
          </w:p>
          <w:p w:rsidR="00B03BD5" w:rsidRDefault="00B03BD5">
            <w:pPr>
              <w:widowControl/>
              <w:spacing w:line="260" w:lineRule="exact"/>
              <w:ind w:firstLine="400"/>
              <w:jc w:val="center"/>
              <w:rPr>
                <w:rFonts w:ascii="仿宋_GB2312" w:hAnsi="宋体"/>
                <w:color w:val="000000"/>
                <w:kern w:val="0"/>
                <w:sz w:val="20"/>
                <w:szCs w:val="20"/>
              </w:rPr>
            </w:pP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绩效</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tcPr>
          <w:p w:rsidR="00B03BD5" w:rsidRDefault="00B03BD5">
            <w:pPr>
              <w:widowControl/>
              <w:spacing w:line="260" w:lineRule="exact"/>
              <w:ind w:firstLine="400"/>
              <w:jc w:val="center"/>
              <w:rPr>
                <w:rFonts w:ascii="仿宋_GB2312" w:eastAsia="仿宋_GB2312" w:hAnsi="宋体" w:cs="宋体"/>
                <w:color w:val="000000"/>
                <w:kern w:val="0"/>
                <w:sz w:val="20"/>
                <w:szCs w:val="20"/>
              </w:rPr>
            </w:pPr>
          </w:p>
          <w:p w:rsidR="00B03BD5" w:rsidRDefault="00B03BD5">
            <w:pPr>
              <w:widowControl/>
              <w:spacing w:line="260" w:lineRule="exact"/>
              <w:ind w:firstLine="400"/>
              <w:jc w:val="center"/>
              <w:rPr>
                <w:rFonts w:ascii="仿宋_GB2312" w:hAnsi="宋体"/>
                <w:color w:val="000000"/>
                <w:kern w:val="0"/>
                <w:sz w:val="20"/>
                <w:szCs w:val="20"/>
              </w:rPr>
            </w:pP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产出</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数量</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根据该项目实际，标识具体明确的产出数量</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对照绩效目标，按实际产出数量率计算得分（</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质量</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根据该项目实际，标识具体明确的产出质量</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对照绩效目标，按实际产出质量率计算得分（</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时效</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根据该项目实际，标识具体明确的产出时效</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对照绩效目标，按实际产出时效率计算得分（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成本</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根据该项目实际，标识具体明确的产出成本</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对照绩效目标，按实际产出成本率计算得分（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B03BD5" w:rsidRDefault="00B03BD5">
            <w:pPr>
              <w:widowControl/>
              <w:spacing w:line="260" w:lineRule="exact"/>
              <w:ind w:firstLine="400"/>
              <w:rPr>
                <w:rFonts w:ascii="仿宋_GB2312" w:eastAsia="仿宋_GB2312" w:hAnsi="宋体" w:cs="宋体"/>
                <w:color w:val="000000"/>
                <w:kern w:val="0"/>
                <w:sz w:val="20"/>
                <w:szCs w:val="20"/>
              </w:rPr>
            </w:pP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效果</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经济</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054F17">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根据项目实际，标识所产生的直接或间接的经济效益</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对照绩效目标，按经济效益实现程度计算得分（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03BD5">
        <w:trPr>
          <w:trHeight w:val="825"/>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社会</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根据项目实际，标识所产生的社会效益</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对照绩效目标，按社会效益实现程度计算得分（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环境</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054F17">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根据项目实际，标识对环境所产生的积极或消极影响</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对照绩效目标，按对环境所产生的实际影响程度计算得分（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可持续影响</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项目产出能持续运用；项目运行所依赖的政策制度能持续执行</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所依赖的政策制度能持续执行（</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B03BD5">
        <w:trPr>
          <w:trHeight w:val="851"/>
          <w:jc w:val="center"/>
        </w:trPr>
        <w:tc>
          <w:tcPr>
            <w:tcW w:w="801" w:type="dxa"/>
            <w:vMerge/>
            <w:tcBorders>
              <w:top w:val="nil"/>
              <w:left w:val="single" w:sz="4" w:space="0" w:color="auto"/>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tcPr>
          <w:p w:rsidR="00B03BD5" w:rsidRDefault="00B03BD5">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服务</w:t>
            </w:r>
          </w:p>
          <w:p w:rsidR="00B03BD5" w:rsidRDefault="00C83D2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对象满意度</w:t>
            </w:r>
          </w:p>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项目预期服务对象对项目实施的满意程度</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按收集到的项目服务对象的满意率计算得分（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B03BD5">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黑体" w:eastAsia="黑体" w:hAnsi="黑体" w:hint="eastAsia"/>
                <w:color w:val="000000"/>
                <w:kern w:val="0"/>
                <w:sz w:val="20"/>
                <w:szCs w:val="20"/>
              </w:rPr>
              <w:t>总</w:t>
            </w:r>
            <w:r>
              <w:rPr>
                <w:rFonts w:ascii="Calibri" w:eastAsia="黑体" w:hAnsi="Calibri" w:cs="Calibri"/>
                <w:color w:val="000000"/>
                <w:kern w:val="0"/>
                <w:sz w:val="20"/>
                <w:szCs w:val="20"/>
              </w:rPr>
              <w:t> </w:t>
            </w:r>
            <w:r>
              <w:rPr>
                <w:rFonts w:ascii="黑体" w:eastAsia="黑体" w:hAnsi="黑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73"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12" w:type="dxa"/>
            <w:tcBorders>
              <w:top w:val="single" w:sz="4" w:space="0" w:color="auto"/>
              <w:left w:val="nil"/>
              <w:bottom w:val="single" w:sz="4" w:space="0" w:color="auto"/>
              <w:right w:val="single" w:sz="4" w:space="0" w:color="auto"/>
            </w:tcBorders>
            <w:vAlign w:val="center"/>
          </w:tcPr>
          <w:p w:rsidR="00B03BD5" w:rsidRDefault="00C83D2E" w:rsidP="00232FDF">
            <w:pPr>
              <w:widowControl/>
              <w:spacing w:line="260" w:lineRule="exact"/>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r w:rsidR="00232FDF">
              <w:rPr>
                <w:rFonts w:ascii="仿宋_GB2312" w:eastAsia="仿宋_GB2312" w:hAnsi="宋体" w:cs="宋体" w:hint="eastAsia"/>
                <w:color w:val="000000"/>
                <w:kern w:val="0"/>
                <w:sz w:val="28"/>
                <w:szCs w:val="28"/>
              </w:rPr>
              <w:t>4</w:t>
            </w:r>
          </w:p>
        </w:tc>
        <w:tc>
          <w:tcPr>
            <w:tcW w:w="3136"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3760" w:type="dxa"/>
            <w:tcBorders>
              <w:top w:val="single" w:sz="4" w:space="0" w:color="auto"/>
              <w:left w:val="nil"/>
              <w:bottom w:val="single" w:sz="4" w:space="0" w:color="auto"/>
              <w:right w:val="single" w:sz="4" w:space="0" w:color="auto"/>
            </w:tcBorders>
            <w:vAlign w:val="center"/>
          </w:tcPr>
          <w:p w:rsidR="00B03BD5" w:rsidRDefault="00C83D2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r>
    </w:tbl>
    <w:p w:rsidR="00B03BD5" w:rsidRDefault="00B03BD5"/>
    <w:sectPr w:rsidR="00B03BD5" w:rsidSect="00B03B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77" w:rsidRPr="00E97DC3" w:rsidRDefault="009A7877" w:rsidP="008B3C0F">
      <w:pPr>
        <w:ind w:firstLine="640"/>
        <w:rPr>
          <w:rFonts w:ascii="Times New Roman" w:eastAsia="Times New Roman" w:hAnsi="Times New Roman" w:cs="Times New Roman"/>
        </w:rPr>
      </w:pPr>
      <w:r>
        <w:separator/>
      </w:r>
    </w:p>
  </w:endnote>
  <w:endnote w:type="continuationSeparator" w:id="1">
    <w:p w:rsidR="009A7877" w:rsidRPr="00E97DC3" w:rsidRDefault="009A7877" w:rsidP="008B3C0F">
      <w:pPr>
        <w:ind w:firstLine="640"/>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仿宋_GB2312">
    <w:altName w:val="仿宋_GB2312"/>
    <w:panose1 w:val="00000000000000000000"/>
    <w:charset w:val="86"/>
    <w:family w:val="auto"/>
    <w:notTrueType/>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77" w:rsidRPr="00E97DC3" w:rsidRDefault="009A7877" w:rsidP="008B3C0F">
      <w:pPr>
        <w:ind w:firstLine="640"/>
        <w:rPr>
          <w:rFonts w:ascii="Times New Roman" w:eastAsia="Times New Roman" w:hAnsi="Times New Roman" w:cs="Times New Roman"/>
        </w:rPr>
      </w:pPr>
      <w:r>
        <w:separator/>
      </w:r>
    </w:p>
  </w:footnote>
  <w:footnote w:type="continuationSeparator" w:id="1">
    <w:p w:rsidR="009A7877" w:rsidRPr="00E97DC3" w:rsidRDefault="009A7877" w:rsidP="008B3C0F">
      <w:pPr>
        <w:ind w:firstLine="640"/>
        <w:rPr>
          <w:rFonts w:ascii="Times New Roman" w:eastAsia="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133748"/>
    <w:rsid w:val="00050392"/>
    <w:rsid w:val="00054F17"/>
    <w:rsid w:val="00084726"/>
    <w:rsid w:val="000F2E76"/>
    <w:rsid w:val="001E4FEA"/>
    <w:rsid w:val="00216C54"/>
    <w:rsid w:val="00232FDF"/>
    <w:rsid w:val="00245281"/>
    <w:rsid w:val="002948CD"/>
    <w:rsid w:val="002D0D2C"/>
    <w:rsid w:val="00384864"/>
    <w:rsid w:val="00391694"/>
    <w:rsid w:val="0044211E"/>
    <w:rsid w:val="00605DBA"/>
    <w:rsid w:val="007A3563"/>
    <w:rsid w:val="008B3C0F"/>
    <w:rsid w:val="00986E0D"/>
    <w:rsid w:val="009A7877"/>
    <w:rsid w:val="00A47E54"/>
    <w:rsid w:val="00B03BD5"/>
    <w:rsid w:val="00B17043"/>
    <w:rsid w:val="00C1107D"/>
    <w:rsid w:val="00C83D2E"/>
    <w:rsid w:val="00D5368E"/>
    <w:rsid w:val="00D635B6"/>
    <w:rsid w:val="00D7232C"/>
    <w:rsid w:val="00D86A2E"/>
    <w:rsid w:val="00E60CBB"/>
    <w:rsid w:val="00F20752"/>
    <w:rsid w:val="00FC1767"/>
    <w:rsid w:val="0F9614B6"/>
    <w:rsid w:val="1F1B451E"/>
    <w:rsid w:val="2C5A5B92"/>
    <w:rsid w:val="2CC27E8B"/>
    <w:rsid w:val="33C94BA0"/>
    <w:rsid w:val="343770F3"/>
    <w:rsid w:val="3BE069D2"/>
    <w:rsid w:val="4A0127F5"/>
    <w:rsid w:val="4C133748"/>
    <w:rsid w:val="52364BC9"/>
    <w:rsid w:val="5AD25733"/>
    <w:rsid w:val="72240277"/>
    <w:rsid w:val="7EAF1D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03B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B03BD5"/>
    <w:rPr>
      <w:rFonts w:ascii="仿宋_GB2312" w:eastAsia="仿宋_GB2312" w:hAnsi="宋体"/>
      <w:sz w:val="32"/>
      <w:szCs w:val="32"/>
    </w:rPr>
  </w:style>
  <w:style w:type="paragraph" w:styleId="a3">
    <w:name w:val="header"/>
    <w:basedOn w:val="a"/>
    <w:link w:val="Char"/>
    <w:rsid w:val="008B3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3C0F"/>
    <w:rPr>
      <w:rFonts w:asciiTheme="minorHAnsi" w:eastAsiaTheme="minorEastAsia" w:hAnsiTheme="minorHAnsi" w:cstheme="minorBidi"/>
      <w:kern w:val="2"/>
      <w:sz w:val="18"/>
      <w:szCs w:val="18"/>
    </w:rPr>
  </w:style>
  <w:style w:type="paragraph" w:styleId="a4">
    <w:name w:val="footer"/>
    <w:basedOn w:val="a"/>
    <w:link w:val="Char0"/>
    <w:rsid w:val="008B3C0F"/>
    <w:pPr>
      <w:tabs>
        <w:tab w:val="center" w:pos="4153"/>
        <w:tab w:val="right" w:pos="8306"/>
      </w:tabs>
      <w:snapToGrid w:val="0"/>
      <w:jc w:val="left"/>
    </w:pPr>
    <w:rPr>
      <w:sz w:val="18"/>
      <w:szCs w:val="18"/>
    </w:rPr>
  </w:style>
  <w:style w:type="character" w:customStyle="1" w:styleId="Char0">
    <w:name w:val="页脚 Char"/>
    <w:basedOn w:val="a0"/>
    <w:link w:val="a4"/>
    <w:rsid w:val="008B3C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79904464">
      <w:bodyDiv w:val="1"/>
      <w:marLeft w:val="0"/>
      <w:marRight w:val="0"/>
      <w:marTop w:val="0"/>
      <w:marBottom w:val="0"/>
      <w:divBdr>
        <w:top w:val="none" w:sz="0" w:space="0" w:color="auto"/>
        <w:left w:val="none" w:sz="0" w:space="0" w:color="auto"/>
        <w:bottom w:val="none" w:sz="0" w:space="0" w:color="auto"/>
        <w:right w:val="none" w:sz="0" w:space="0" w:color="auto"/>
      </w:divBdr>
    </w:div>
    <w:div w:id="888150282">
      <w:bodyDiv w:val="1"/>
      <w:marLeft w:val="0"/>
      <w:marRight w:val="0"/>
      <w:marTop w:val="0"/>
      <w:marBottom w:val="0"/>
      <w:divBdr>
        <w:top w:val="none" w:sz="0" w:space="0" w:color="auto"/>
        <w:left w:val="none" w:sz="0" w:space="0" w:color="auto"/>
        <w:bottom w:val="none" w:sz="0" w:space="0" w:color="auto"/>
        <w:right w:val="none" w:sz="0" w:space="0" w:color="auto"/>
      </w:divBdr>
    </w:div>
    <w:div w:id="1243833292">
      <w:bodyDiv w:val="1"/>
      <w:marLeft w:val="0"/>
      <w:marRight w:val="0"/>
      <w:marTop w:val="0"/>
      <w:marBottom w:val="0"/>
      <w:divBdr>
        <w:top w:val="none" w:sz="0" w:space="0" w:color="auto"/>
        <w:left w:val="none" w:sz="0" w:space="0" w:color="auto"/>
        <w:bottom w:val="none" w:sz="0" w:space="0" w:color="auto"/>
        <w:right w:val="none" w:sz="0" w:space="0" w:color="auto"/>
      </w:divBdr>
    </w:div>
    <w:div w:id="1279415844">
      <w:bodyDiv w:val="1"/>
      <w:marLeft w:val="0"/>
      <w:marRight w:val="0"/>
      <w:marTop w:val="0"/>
      <w:marBottom w:val="0"/>
      <w:divBdr>
        <w:top w:val="none" w:sz="0" w:space="0" w:color="auto"/>
        <w:left w:val="none" w:sz="0" w:space="0" w:color="auto"/>
        <w:bottom w:val="none" w:sz="0" w:space="0" w:color="auto"/>
        <w:right w:val="none" w:sz="0" w:space="0" w:color="auto"/>
      </w:divBdr>
    </w:div>
    <w:div w:id="1711489982">
      <w:bodyDiv w:val="1"/>
      <w:marLeft w:val="0"/>
      <w:marRight w:val="0"/>
      <w:marTop w:val="0"/>
      <w:marBottom w:val="0"/>
      <w:divBdr>
        <w:top w:val="none" w:sz="0" w:space="0" w:color="auto"/>
        <w:left w:val="none" w:sz="0" w:space="0" w:color="auto"/>
        <w:bottom w:val="none" w:sz="0" w:space="0" w:color="auto"/>
        <w:right w:val="none" w:sz="0" w:space="0" w:color="auto"/>
      </w:divBdr>
    </w:div>
    <w:div w:id="2007516423">
      <w:bodyDiv w:val="1"/>
      <w:marLeft w:val="0"/>
      <w:marRight w:val="0"/>
      <w:marTop w:val="0"/>
      <w:marBottom w:val="0"/>
      <w:divBdr>
        <w:top w:val="none" w:sz="0" w:space="0" w:color="auto"/>
        <w:left w:val="none" w:sz="0" w:space="0" w:color="auto"/>
        <w:bottom w:val="none" w:sz="0" w:space="0" w:color="auto"/>
        <w:right w:val="none" w:sz="0" w:space="0" w:color="auto"/>
      </w:divBdr>
    </w:div>
    <w:div w:id="211918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27</cp:revision>
  <cp:lastPrinted>2021-04-07T01:38:00Z</cp:lastPrinted>
  <dcterms:created xsi:type="dcterms:W3CDTF">2021-03-23T07:17:00Z</dcterms:created>
  <dcterms:modified xsi:type="dcterms:W3CDTF">2021-09-02T03:16:00Z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29A7080850D04834BB0A4407C665EDF2</vt:lpwstr>
  </property>
</Properties>
</file>