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rPr>
          <w:rFonts w:hint="eastAsia" w:ascii="黑体" w:hAnsi="黑体" w:eastAsia="黑体" w:cs="黑体"/>
          <w:b/>
          <w:color w:val="000000"/>
          <w:kern w:val="0"/>
          <w:sz w:val="32"/>
          <w:szCs w:val="24"/>
          <w:highlight w:val="white"/>
          <w:lang w:val="en-US" w:eastAsia="zh-CN"/>
        </w:rPr>
      </w:pPr>
    </w:p>
    <w:p>
      <w:pPr>
        <w:numPr>
          <w:ilvl w:val="0"/>
          <w:numId w:val="0"/>
        </w:numPr>
        <w:spacing w:line="540" w:lineRule="exact"/>
        <w:rPr>
          <w:rFonts w:hint="default" w:ascii="黑体" w:hAnsi="黑体" w:eastAsia="黑体" w:cs="黑体"/>
          <w:b/>
          <w:color w:val="000000"/>
          <w:kern w:val="0"/>
          <w:sz w:val="32"/>
          <w:szCs w:val="24"/>
          <w:highlight w:val="white"/>
          <w:lang w:val="zh-CN" w:eastAsia="zh-CN"/>
        </w:rPr>
      </w:pPr>
    </w:p>
    <w:p>
      <w:pPr>
        <w:shd w:val="clear" w:color="auto" w:fill="FFFFFF"/>
        <w:spacing w:line="900" w:lineRule="atLeast"/>
        <w:ind w:left="2520" w:leftChars="1200" w:firstLine="361" w:firstLineChars="100"/>
        <w:outlineLvl w:val="0"/>
        <w:rPr>
          <w:rFonts w:hint="eastAsia" w:ascii="宋体" w:hAnsi="宋体" w:eastAsia="宋体" w:cs="宋体"/>
          <w:b/>
          <w:color w:val="333333"/>
          <w:kern w:val="36"/>
          <w:sz w:val="36"/>
          <w:szCs w:val="36"/>
          <w:lang w:val="en-US" w:eastAsia="zh-CN"/>
        </w:rPr>
      </w:pPr>
      <w:r>
        <w:rPr>
          <w:rFonts w:hint="eastAsia" w:ascii="宋体" w:hAnsi="宋体" w:eastAsia="宋体" w:cs="宋体"/>
          <w:b/>
          <w:color w:val="333333"/>
          <w:kern w:val="36"/>
          <w:sz w:val="36"/>
          <w:szCs w:val="36"/>
          <w:lang w:val="en-US" w:eastAsia="zh-CN"/>
        </w:rPr>
        <w:t>南县应急管理局</w:t>
      </w:r>
    </w:p>
    <w:p>
      <w:pPr>
        <w:shd w:val="clear" w:color="auto" w:fill="FFFFFF"/>
        <w:spacing w:line="900" w:lineRule="atLeast"/>
        <w:ind w:left="2531" w:leftChars="345" w:hanging="1807" w:hangingChars="500"/>
        <w:outlineLvl w:val="0"/>
        <w:rPr>
          <w:rFonts w:hint="eastAsia" w:ascii="宋体" w:hAnsi="宋体" w:eastAsia="宋体" w:cs="宋体"/>
          <w:b/>
          <w:color w:val="333333"/>
          <w:kern w:val="36"/>
          <w:sz w:val="36"/>
          <w:szCs w:val="36"/>
        </w:rPr>
      </w:pPr>
      <w:r>
        <w:rPr>
          <w:rFonts w:hint="eastAsia" w:ascii="宋体" w:hAnsi="宋体" w:eastAsia="宋体" w:cs="宋体"/>
          <w:b/>
          <w:color w:val="333333"/>
          <w:kern w:val="36"/>
          <w:sz w:val="36"/>
          <w:szCs w:val="36"/>
        </w:rPr>
        <w:t>2020年</w:t>
      </w:r>
      <w:bookmarkStart w:id="0" w:name="_GoBack"/>
      <w:r>
        <w:rPr>
          <w:rFonts w:hint="eastAsia" w:ascii="宋体" w:hAnsi="宋体" w:eastAsia="宋体" w:cs="宋体"/>
          <w:b/>
          <w:color w:val="333333"/>
          <w:kern w:val="36"/>
          <w:sz w:val="36"/>
          <w:szCs w:val="36"/>
        </w:rPr>
        <w:t>中央自然灾害防治体系建设补助资金</w:t>
      </w:r>
    </w:p>
    <w:p>
      <w:pPr>
        <w:shd w:val="clear" w:color="auto" w:fill="FFFFFF"/>
        <w:spacing w:line="900" w:lineRule="atLeast"/>
        <w:ind w:firstLine="3253" w:firstLineChars="900"/>
        <w:outlineLvl w:val="0"/>
        <w:rPr>
          <w:rFonts w:hint="eastAsia" w:ascii="宋体" w:hAnsi="宋体" w:eastAsia="宋体" w:cs="宋体"/>
          <w:b/>
          <w:color w:val="333333"/>
          <w:kern w:val="36"/>
          <w:sz w:val="36"/>
          <w:szCs w:val="36"/>
        </w:rPr>
      </w:pPr>
      <w:r>
        <w:rPr>
          <w:rFonts w:hint="eastAsia" w:ascii="宋体" w:hAnsi="宋体" w:eastAsia="宋体" w:cs="宋体"/>
          <w:b/>
          <w:color w:val="333333"/>
          <w:kern w:val="36"/>
          <w:sz w:val="36"/>
          <w:szCs w:val="36"/>
        </w:rPr>
        <w:t>绩效评价报告</w:t>
      </w:r>
    </w:p>
    <w:bookmarkEnd w:id="0"/>
    <w:p>
      <w:pPr>
        <w:spacing w:line="520" w:lineRule="exact"/>
        <w:ind w:firstLine="2296" w:firstLineChars="700"/>
        <w:rPr>
          <w:rFonts w:hint="eastAsia" w:ascii="仿宋" w:hAnsi="仿宋" w:eastAsia="仿宋" w:cs="宋体"/>
          <w:b/>
          <w:color w:val="333333"/>
          <w:kern w:val="36"/>
          <w:sz w:val="36"/>
          <w:szCs w:val="36"/>
        </w:rPr>
      </w:pPr>
      <w:r>
        <w:rPr>
          <w:rFonts w:hint="eastAsia" w:ascii="仿宋" w:hAnsi="仿宋" w:eastAsia="仿宋"/>
          <w:spacing w:val="24"/>
          <w:sz w:val="28"/>
          <w:szCs w:val="24"/>
        </w:rPr>
        <w:t>湘财苑绩评字[2021]1-018号</w:t>
      </w:r>
    </w:p>
    <w:p>
      <w:pPr>
        <w:numPr>
          <w:ilvl w:val="0"/>
          <w:numId w:val="0"/>
        </w:numPr>
        <w:spacing w:line="540" w:lineRule="exact"/>
        <w:ind w:firstLine="640" w:firstLineChars="200"/>
        <w:rPr>
          <w:rFonts w:hint="eastAsia" w:ascii="仿宋" w:hAnsi="仿宋" w:eastAsia="仿宋" w:cs="仿宋"/>
          <w:color w:val="000000"/>
          <w:kern w:val="0"/>
          <w:sz w:val="32"/>
          <w:szCs w:val="24"/>
          <w:highlight w:val="white"/>
          <w:lang w:val="en-US" w:eastAsia="zh-CN"/>
        </w:rPr>
      </w:pPr>
      <w:r>
        <w:rPr>
          <w:rFonts w:hint="eastAsia" w:ascii="仿宋" w:hAnsi="仿宋" w:eastAsia="仿宋" w:cs="仿宋"/>
          <w:color w:val="000000"/>
          <w:kern w:val="0"/>
          <w:sz w:val="32"/>
          <w:szCs w:val="24"/>
          <w:highlight w:val="white"/>
          <w:lang w:val="en-US" w:eastAsia="zh-CN"/>
        </w:rPr>
        <w:t>为进一步规范财政资金管理，强化财政资金支出绩效理念，切实提高财政资金使用效益，根据《中共中央 国务院关于全面实施预算绩效管理的意见》（中发〔2018〕34号）、《中共湖南省委办公厅、湖南省人民政府办公厅关于全面实施绩效管理的实施意见》（湘办发〔2019〕10号）、《预算绩效管理工作考核办法》（湘财绩〔2015〕15号）、《南县财政局关于对2020年度专项资金开展重点绩效评价工作的通知》（南财绩函[2021]10号）等文件要求，受南县财政局的委托，我所成立专项资金绩效评价工作组，于2021年4月26日—6月28日对南县应急管理局2020年“中央自然灾害防治体系建设补助资金”（以下简称项目资金）开展了绩效评价。现将有关情况报告如下：</w:t>
      </w:r>
    </w:p>
    <w:p>
      <w:pPr>
        <w:pStyle w:val="4"/>
        <w:ind w:firstLine="803" w:firstLineChars="250"/>
        <w:rPr>
          <w:rFonts w:hint="eastAsia" w:ascii="黑体" w:hAnsi="黑体" w:eastAsia="黑体" w:cs="黑体"/>
          <w:b/>
          <w:sz w:val="32"/>
          <w:szCs w:val="32"/>
        </w:rPr>
      </w:pPr>
      <w:r>
        <w:rPr>
          <w:rFonts w:hint="eastAsia" w:ascii="黑体" w:hAnsi="黑体" w:eastAsia="黑体" w:cs="黑体"/>
          <w:b/>
          <w:sz w:val="32"/>
          <w:szCs w:val="32"/>
        </w:rPr>
        <w:t>一、基本情况</w:t>
      </w:r>
    </w:p>
    <w:p>
      <w:pPr>
        <w:spacing w:line="540" w:lineRule="exact"/>
        <w:ind w:firstLine="803" w:firstLineChars="250"/>
        <w:rPr>
          <w:rFonts w:hint="default" w:ascii="宋体" w:hAnsi="宋体" w:cs="Times New Roman"/>
          <w:color w:val="000000"/>
          <w:kern w:val="0"/>
          <w:sz w:val="32"/>
          <w:szCs w:val="24"/>
          <w:highlight w:val="white"/>
          <w:lang w:val="en-US"/>
        </w:rPr>
      </w:pPr>
      <w:r>
        <w:rPr>
          <w:rFonts w:hint="eastAsia" w:ascii="楷体" w:hAnsi="楷体" w:eastAsia="楷体" w:cs="楷体"/>
          <w:b/>
          <w:bCs/>
          <w:color w:val="000000"/>
          <w:kern w:val="0"/>
          <w:sz w:val="32"/>
          <w:szCs w:val="24"/>
          <w:highlight w:val="white"/>
          <w:lang w:val="en-US" w:eastAsia="zh-CN"/>
        </w:rPr>
        <w:t>（一）项目单位基本情况。</w:t>
      </w:r>
      <w:r>
        <w:rPr>
          <w:rFonts w:hint="default" w:ascii="仿宋" w:hAnsi="仿宋" w:eastAsia="仿宋" w:cs="仿宋"/>
          <w:color w:val="000000"/>
          <w:kern w:val="0"/>
          <w:sz w:val="32"/>
          <w:szCs w:val="24"/>
          <w:highlight w:val="white"/>
          <w:lang w:val="en-US" w:eastAsia="zh-CN"/>
        </w:rPr>
        <w:t>南县应急管理局（以下简称“县应急局”）是县政府工作部门，为正科级，加挂县防汛抗旱指挥部办公室牌子。其主要工作职责：1.负责应急管理工作，组织协调全县应对安全生产类、自然灾害类等突发事件和综合防灾减灾救灾工作；2.贯彻实施相关法律法规、部门规章、规程和标准，组织编制全县应急体系建设、安全生产和综合防灾减灾规划，组织拟订相关规程和标准并监督实施；3.指导应急预案体系建设，建立完善事故灾难和自然灾害分级应对制度，组织编制县总体应急预案和安全生产类、自然灾害类专项预案，综合协调应急预案衔接工作，组织开展预案演练，推动应急避难设施建设；4.推进全县统一的应急管理信息系统建设，负责信息传输渠道的规划和布局，建立监测预警和灾情报告制度，健全自然灾害信息资源获取和共享机制，依法统一发布灾情等。下设8个内设机构：办公室、危险化学品安全监督管理股(烟花爆竹安全监督管理股)、非煤矿山和工贸行业安全监督管理股、预案管理和物质保障股、综合防灾管理股、法规股、防汛抗旱股、政工室（党建工作办公室）。南县应急管理局行政编制10名。设局长1名，副局长2名，总工程师1名，政工室主任1名；股级职数8名（含兼职）。县应急管理局所属事业单位：县安全生产执法大队-县应急管理局所属股级公益一类事业单位，核定全额拨款事业编制9名；县应急救援指挥中心-县应急局所属股级公益一类事业单位，核定全额拨款事业编制10名。</w:t>
      </w:r>
    </w:p>
    <w:p>
      <w:pPr>
        <w:spacing w:line="540" w:lineRule="exact"/>
        <w:ind w:firstLine="803" w:firstLineChars="250"/>
        <w:rPr>
          <w:rFonts w:hint="default" w:ascii="仿宋" w:hAnsi="仿宋" w:eastAsia="仿宋" w:cs="仿宋"/>
          <w:color w:val="000000"/>
          <w:kern w:val="0"/>
          <w:sz w:val="32"/>
          <w:szCs w:val="24"/>
          <w:highlight w:val="white"/>
          <w:lang w:val="en-US" w:eastAsia="zh-CN"/>
        </w:rPr>
      </w:pPr>
      <w:r>
        <w:rPr>
          <w:rFonts w:hint="eastAsia" w:ascii="楷体" w:hAnsi="楷体" w:eastAsia="楷体" w:cs="楷体"/>
          <w:b/>
          <w:bCs/>
          <w:color w:val="000000"/>
          <w:kern w:val="0"/>
          <w:sz w:val="32"/>
          <w:szCs w:val="24"/>
          <w:highlight w:val="white"/>
          <w:lang w:val="en-US"/>
        </w:rPr>
        <w:t>（二）项目基本情况。</w:t>
      </w:r>
      <w:r>
        <w:rPr>
          <w:rFonts w:hint="default" w:ascii="仿宋" w:hAnsi="仿宋" w:eastAsia="仿宋" w:cs="仿宋"/>
          <w:color w:val="000000"/>
          <w:kern w:val="0"/>
          <w:sz w:val="32"/>
          <w:szCs w:val="24"/>
          <w:highlight w:val="white"/>
          <w:lang w:val="en-US" w:eastAsia="zh-CN"/>
        </w:rPr>
        <w:t>根据财建[2020]393号《财政部关于下达2020年自然灾害防治体系建设补助资金预算的通知》、湘财企指[2020]66号《湖南省财政厅关于下达2020年中央自然灾害防治体系建设补助资金预算的通知》下达中央财政补助资金375万元，其中：南县备灾点救灾物资300万元、南县备灾点防汛物资75万元。中央自然灾害防治体系建设补助资金重点支持抢险救援装备配备和基层备灾能力建设。其中，应急抢险救援装备配备项目重点提高水域救援、城市排涝和快速救援能力等装备配备；基层备灾能力建设主要是为多灾易灾及交通偏远乡镇配备必要的应急救灾物资。2020年11月6日湖南省财政厅出具《关于规范管理使用2020年度中央自然灾害防治体系建设补助资金的通知》(湘应急函[2020]76号)要求相关市、县级应急管理局结合本行政区域历年自然灾害发生频次和特点等，科学确定救灾物资储备品种及规划，制定实施此项补助资金物资采购方案，要求物资采购任务原则于2020年12月底前完成，最迟不得晚于2021年2月10日。</w:t>
      </w:r>
    </w:p>
    <w:p>
      <w:pPr>
        <w:spacing w:line="540" w:lineRule="exact"/>
        <w:ind w:firstLine="643" w:firstLineChars="200"/>
        <w:rPr>
          <w:rFonts w:hint="eastAsia" w:ascii="黑体" w:hAnsi="黑体" w:eastAsia="黑体" w:cs="黑体"/>
          <w:b/>
          <w:sz w:val="32"/>
          <w:szCs w:val="24"/>
        </w:rPr>
      </w:pPr>
      <w:r>
        <w:rPr>
          <w:rFonts w:hint="eastAsia" w:ascii="黑体" w:hAnsi="黑体" w:eastAsia="黑体" w:cs="黑体"/>
          <w:b/>
          <w:sz w:val="32"/>
          <w:szCs w:val="24"/>
        </w:rPr>
        <w:t>二、项目资金使用及管理情况</w:t>
      </w:r>
    </w:p>
    <w:p>
      <w:pPr>
        <w:spacing w:line="540" w:lineRule="exact"/>
        <w:ind w:firstLine="803" w:firstLineChars="250"/>
        <w:rPr>
          <w:rFonts w:hint="default" w:ascii="宋体" w:hAnsi="宋体" w:cs="Times New Roman"/>
          <w:color w:val="000000"/>
          <w:kern w:val="0"/>
          <w:sz w:val="32"/>
          <w:szCs w:val="24"/>
          <w:highlight w:val="white"/>
          <w:lang w:val="en-US"/>
        </w:rPr>
      </w:pPr>
      <w:r>
        <w:rPr>
          <w:rFonts w:hint="eastAsia" w:ascii="楷体" w:hAnsi="楷体" w:eastAsia="楷体" w:cs="楷体"/>
          <w:b/>
          <w:bCs/>
          <w:color w:val="000000"/>
          <w:kern w:val="0"/>
          <w:sz w:val="32"/>
          <w:szCs w:val="32"/>
          <w:highlight w:val="white"/>
          <w:lang w:val="en-US"/>
        </w:rPr>
        <w:t>（一）项目资金到位情况。</w:t>
      </w:r>
      <w:r>
        <w:rPr>
          <w:rFonts w:hint="default" w:ascii="仿宋" w:hAnsi="仿宋" w:eastAsia="仿宋" w:cs="仿宋"/>
          <w:color w:val="000000"/>
          <w:kern w:val="0"/>
          <w:sz w:val="32"/>
          <w:szCs w:val="24"/>
          <w:highlight w:val="white"/>
          <w:lang w:val="en-US" w:eastAsia="zh-CN"/>
        </w:rPr>
        <w:t>“中央自然灾害防治体系建设补助资金”财政预算安排项目资金375.00万元，县财政实际拨款金额375.00元，资金到位率100%。</w:t>
      </w:r>
    </w:p>
    <w:p>
      <w:pPr>
        <w:spacing w:line="540" w:lineRule="exact"/>
        <w:ind w:firstLine="803" w:firstLineChars="250"/>
        <w:rPr>
          <w:rFonts w:hint="default" w:ascii="宋体" w:hAnsi="宋体" w:cs="Times New Roman"/>
          <w:color w:val="000000"/>
          <w:kern w:val="0"/>
          <w:sz w:val="32"/>
          <w:szCs w:val="24"/>
          <w:highlight w:val="white"/>
          <w:lang w:val="en-US"/>
        </w:rPr>
      </w:pPr>
      <w:r>
        <w:rPr>
          <w:rFonts w:hint="default" w:ascii="楷体" w:hAnsi="楷体" w:eastAsia="楷体" w:cs="楷体"/>
          <w:b/>
          <w:bCs/>
          <w:color w:val="000000"/>
          <w:kern w:val="0"/>
          <w:sz w:val="32"/>
          <w:szCs w:val="32"/>
          <w:highlight w:val="white"/>
          <w:lang w:val="en-US"/>
        </w:rPr>
        <w:t>（二）项目资金使用情况。</w:t>
      </w:r>
      <w:r>
        <w:rPr>
          <w:rFonts w:hint="default" w:ascii="仿宋" w:hAnsi="仿宋" w:eastAsia="仿宋" w:cs="仿宋"/>
          <w:color w:val="000000"/>
          <w:kern w:val="0"/>
          <w:sz w:val="32"/>
          <w:szCs w:val="24"/>
          <w:highlight w:val="white"/>
          <w:lang w:val="en-US" w:eastAsia="zh-CN"/>
        </w:rPr>
        <w:t>“中央自然灾害防治体系建设补助资金”项目资金实际使用资金375.00元，资金均在2021年支付。资金明细情况如下：</w:t>
      </w:r>
    </w:p>
    <w:tbl>
      <w:tblPr>
        <w:tblStyle w:val="2"/>
        <w:tblW w:w="83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91"/>
        <w:gridCol w:w="1532"/>
        <w:gridCol w:w="1684"/>
        <w:gridCol w:w="1770"/>
        <w:gridCol w:w="1532"/>
        <w:gridCol w:w="1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591"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序号</w:t>
            </w:r>
          </w:p>
        </w:tc>
        <w:tc>
          <w:tcPr>
            <w:tcW w:w="1532" w:type="dxa"/>
            <w:tcBorders>
              <w:top w:val="single" w:color="000000" w:sz="8" w:space="0"/>
              <w:left w:val="nil"/>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年初预算（万元）</w:t>
            </w:r>
          </w:p>
        </w:tc>
        <w:tc>
          <w:tcPr>
            <w:tcW w:w="1684" w:type="dxa"/>
            <w:tcBorders>
              <w:top w:val="single" w:color="000000" w:sz="8" w:space="0"/>
              <w:left w:val="nil"/>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本年开支项目</w:t>
            </w:r>
          </w:p>
        </w:tc>
        <w:tc>
          <w:tcPr>
            <w:tcW w:w="1770" w:type="dxa"/>
            <w:tcBorders>
              <w:top w:val="single" w:color="000000" w:sz="8" w:space="0"/>
              <w:left w:val="nil"/>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本年支出金额（元）</w:t>
            </w:r>
          </w:p>
        </w:tc>
        <w:tc>
          <w:tcPr>
            <w:tcW w:w="1532" w:type="dxa"/>
            <w:tcBorders>
              <w:top w:val="single" w:color="000000" w:sz="8" w:space="0"/>
              <w:left w:val="nil"/>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占支出资金比例</w:t>
            </w:r>
          </w:p>
        </w:tc>
        <w:tc>
          <w:tcPr>
            <w:tcW w:w="1209" w:type="dxa"/>
            <w:tcBorders>
              <w:top w:val="single" w:color="000000" w:sz="8" w:space="0"/>
              <w:left w:val="nil"/>
              <w:bottom w:val="nil"/>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91" w:type="dxa"/>
            <w:tcBorders>
              <w:top w:val="nil"/>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1</w:t>
            </w:r>
          </w:p>
        </w:tc>
        <w:tc>
          <w:tcPr>
            <w:tcW w:w="1532" w:type="dxa"/>
            <w:vMerge w:val="restart"/>
            <w:tcBorders>
              <w:top w:val="nil"/>
              <w:left w:val="nil"/>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375</w:t>
            </w:r>
          </w:p>
        </w:tc>
        <w:tc>
          <w:tcPr>
            <w:tcW w:w="1684" w:type="dxa"/>
            <w:tcBorders>
              <w:top w:val="nil"/>
              <w:left w:val="nil"/>
              <w:bottom w:val="single" w:color="000000" w:sz="8" w:space="0"/>
              <w:right w:val="single" w:color="000000" w:sz="8" w:space="0"/>
              <w:tl2br w:val="nil"/>
              <w:tr2bl w:val="nil"/>
            </w:tcBorders>
            <w:noWrap w:val="0"/>
            <w:vAlign w:val="center"/>
          </w:tcPr>
          <w:p>
            <w:pPr>
              <w:spacing w:line="540" w:lineRule="exact"/>
              <w:textAlignment w:val="center"/>
              <w:rPr>
                <w:rFonts w:hint="default" w:ascii="宋体" w:hAnsi="宋体" w:cs="宋体"/>
                <w:color w:val="000000"/>
                <w:sz w:val="18"/>
                <w:szCs w:val="18"/>
              </w:rPr>
            </w:pPr>
            <w:r>
              <w:rPr>
                <w:rFonts w:hint="default" w:ascii="宋体" w:hAnsi="宋体" w:cs="宋体"/>
                <w:color w:val="000000"/>
                <w:kern w:val="0"/>
                <w:sz w:val="18"/>
                <w:szCs w:val="18"/>
              </w:rPr>
              <w:t>卵石</w:t>
            </w:r>
          </w:p>
        </w:tc>
        <w:tc>
          <w:tcPr>
            <w:tcW w:w="1770" w:type="dxa"/>
            <w:tcBorders>
              <w:top w:val="nil"/>
              <w:left w:val="nil"/>
              <w:bottom w:val="single" w:color="000000" w:sz="8" w:space="0"/>
              <w:right w:val="single" w:color="000000" w:sz="8" w:space="0"/>
              <w:tl2br w:val="nil"/>
              <w:tr2bl w:val="nil"/>
            </w:tcBorders>
            <w:noWrap w:val="0"/>
            <w:vAlign w:val="center"/>
          </w:tcPr>
          <w:p>
            <w:pPr>
              <w:spacing w:line="540" w:lineRule="exact"/>
              <w:jc w:val="right"/>
              <w:textAlignment w:val="center"/>
              <w:rPr>
                <w:rFonts w:hint="default" w:ascii="宋体" w:hAnsi="宋体" w:cs="宋体"/>
                <w:color w:val="000000"/>
                <w:sz w:val="18"/>
                <w:szCs w:val="18"/>
              </w:rPr>
            </w:pPr>
            <w:r>
              <w:rPr>
                <w:rFonts w:hint="default" w:ascii="宋体" w:hAnsi="宋体" w:cs="宋体"/>
                <w:color w:val="000000"/>
                <w:kern w:val="0"/>
                <w:sz w:val="18"/>
                <w:szCs w:val="18"/>
              </w:rPr>
              <w:t>499,800.00</w:t>
            </w:r>
          </w:p>
        </w:tc>
        <w:tc>
          <w:tcPr>
            <w:tcW w:w="1532" w:type="dxa"/>
            <w:tcBorders>
              <w:top w:val="nil"/>
              <w:left w:val="nil"/>
              <w:bottom w:val="single" w:color="000000" w:sz="8" w:space="0"/>
              <w:right w:val="nil"/>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13.33%</w:t>
            </w:r>
          </w:p>
        </w:tc>
        <w:tc>
          <w:tcPr>
            <w:tcW w:w="1209" w:type="dxa"/>
            <w:vMerge w:val="restart"/>
            <w:tcBorders>
              <w:top w:val="single" w:color="000000" w:sz="8" w:space="0"/>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91" w:type="dxa"/>
            <w:tcBorders>
              <w:top w:val="nil"/>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2</w:t>
            </w:r>
          </w:p>
        </w:tc>
        <w:tc>
          <w:tcPr>
            <w:tcW w:w="1532" w:type="dxa"/>
            <w:vMerge w:val="continue"/>
            <w:tcBorders>
              <w:top w:val="nil"/>
              <w:left w:val="nil"/>
              <w:bottom w:val="single" w:color="000000" w:sz="8" w:space="0"/>
              <w:right w:val="single" w:color="000000" w:sz="8" w:space="0"/>
              <w:tl2br w:val="nil"/>
              <w:tr2bl w:val="nil"/>
            </w:tcBorders>
            <w:noWrap w:val="0"/>
            <w:vAlign w:val="center"/>
          </w:tcPr>
          <w:p>
            <w:pPr>
              <w:spacing w:line="540" w:lineRule="exact"/>
              <w:jc w:val="center"/>
              <w:rPr>
                <w:rFonts w:hint="default" w:ascii="宋体" w:hAnsi="宋体" w:cs="宋体"/>
                <w:color w:val="000000"/>
                <w:sz w:val="18"/>
                <w:szCs w:val="18"/>
              </w:rPr>
            </w:pPr>
          </w:p>
        </w:tc>
        <w:tc>
          <w:tcPr>
            <w:tcW w:w="1684" w:type="dxa"/>
            <w:tcBorders>
              <w:top w:val="nil"/>
              <w:left w:val="nil"/>
              <w:bottom w:val="single" w:color="000000" w:sz="8" w:space="0"/>
              <w:right w:val="single" w:color="000000" w:sz="8" w:space="0"/>
              <w:tl2br w:val="nil"/>
              <w:tr2bl w:val="nil"/>
            </w:tcBorders>
            <w:noWrap w:val="0"/>
            <w:vAlign w:val="center"/>
          </w:tcPr>
          <w:p>
            <w:pPr>
              <w:spacing w:line="540" w:lineRule="exact"/>
              <w:textAlignment w:val="center"/>
              <w:rPr>
                <w:rFonts w:hint="default" w:ascii="宋体" w:hAnsi="宋体" w:cs="宋体"/>
                <w:color w:val="000000"/>
                <w:sz w:val="18"/>
                <w:szCs w:val="18"/>
              </w:rPr>
            </w:pPr>
            <w:r>
              <w:rPr>
                <w:rFonts w:hint="default" w:ascii="宋体" w:hAnsi="宋体" w:cs="宋体"/>
                <w:color w:val="000000"/>
                <w:kern w:val="0"/>
                <w:sz w:val="18"/>
                <w:szCs w:val="18"/>
              </w:rPr>
              <w:t>卵石运输</w:t>
            </w:r>
          </w:p>
        </w:tc>
        <w:tc>
          <w:tcPr>
            <w:tcW w:w="1770" w:type="dxa"/>
            <w:tcBorders>
              <w:top w:val="nil"/>
              <w:left w:val="nil"/>
              <w:bottom w:val="single" w:color="000000" w:sz="8" w:space="0"/>
              <w:right w:val="single" w:color="000000" w:sz="8" w:space="0"/>
              <w:tl2br w:val="nil"/>
              <w:tr2bl w:val="nil"/>
            </w:tcBorders>
            <w:noWrap w:val="0"/>
            <w:vAlign w:val="center"/>
          </w:tcPr>
          <w:p>
            <w:pPr>
              <w:spacing w:line="540" w:lineRule="exact"/>
              <w:jc w:val="right"/>
              <w:textAlignment w:val="center"/>
              <w:rPr>
                <w:rFonts w:hint="default" w:ascii="宋体" w:hAnsi="宋体" w:cs="宋体"/>
                <w:color w:val="000000"/>
                <w:sz w:val="18"/>
                <w:szCs w:val="18"/>
              </w:rPr>
            </w:pPr>
            <w:r>
              <w:rPr>
                <w:rFonts w:hint="default" w:ascii="宋体" w:hAnsi="宋体" w:cs="宋体"/>
                <w:color w:val="000000"/>
                <w:kern w:val="0"/>
                <w:sz w:val="18"/>
                <w:szCs w:val="18"/>
              </w:rPr>
              <w:t>184,800.00</w:t>
            </w:r>
          </w:p>
        </w:tc>
        <w:tc>
          <w:tcPr>
            <w:tcW w:w="1532" w:type="dxa"/>
            <w:tcBorders>
              <w:top w:val="nil"/>
              <w:left w:val="nil"/>
              <w:bottom w:val="single" w:color="000000" w:sz="8" w:space="0"/>
              <w:right w:val="nil"/>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4.93%</w:t>
            </w:r>
          </w:p>
        </w:tc>
        <w:tc>
          <w:tcPr>
            <w:tcW w:w="1209" w:type="dxa"/>
            <w:vMerge w:val="continue"/>
            <w:tcBorders>
              <w:top w:val="single" w:color="000000" w:sz="8" w:space="0"/>
              <w:left w:val="single" w:color="000000" w:sz="8" w:space="0"/>
              <w:bottom w:val="single" w:color="000000" w:sz="8" w:space="0"/>
              <w:right w:val="single" w:color="000000" w:sz="8" w:space="0"/>
              <w:tl2br w:val="nil"/>
              <w:tr2bl w:val="nil"/>
            </w:tcBorders>
            <w:noWrap w:val="0"/>
            <w:vAlign w:val="center"/>
          </w:tcPr>
          <w:p>
            <w:pPr>
              <w:spacing w:line="540" w:lineRule="exact"/>
              <w:jc w:val="center"/>
              <w:rPr>
                <w:rFonts w:hint="default"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91" w:type="dxa"/>
            <w:tcBorders>
              <w:top w:val="nil"/>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kern w:val="0"/>
                <w:sz w:val="18"/>
                <w:szCs w:val="18"/>
              </w:rPr>
            </w:pPr>
            <w:r>
              <w:rPr>
                <w:rFonts w:hint="default" w:ascii="宋体" w:hAnsi="宋体" w:cs="宋体"/>
                <w:color w:val="000000"/>
                <w:kern w:val="0"/>
                <w:sz w:val="18"/>
                <w:szCs w:val="18"/>
              </w:rPr>
              <w:t>3</w:t>
            </w:r>
          </w:p>
        </w:tc>
        <w:tc>
          <w:tcPr>
            <w:tcW w:w="1532" w:type="dxa"/>
            <w:vMerge w:val="continue"/>
            <w:tcBorders>
              <w:top w:val="nil"/>
              <w:left w:val="nil"/>
              <w:bottom w:val="single" w:color="000000" w:sz="8" w:space="0"/>
              <w:right w:val="single" w:color="000000" w:sz="8" w:space="0"/>
              <w:tl2br w:val="nil"/>
              <w:tr2bl w:val="nil"/>
            </w:tcBorders>
            <w:noWrap w:val="0"/>
            <w:vAlign w:val="center"/>
          </w:tcPr>
          <w:p>
            <w:pPr>
              <w:spacing w:line="540" w:lineRule="exact"/>
              <w:jc w:val="center"/>
              <w:rPr>
                <w:rFonts w:hint="default" w:ascii="宋体" w:hAnsi="宋体" w:cs="宋体"/>
                <w:color w:val="000000"/>
                <w:sz w:val="18"/>
                <w:szCs w:val="18"/>
              </w:rPr>
            </w:pPr>
          </w:p>
        </w:tc>
        <w:tc>
          <w:tcPr>
            <w:tcW w:w="1684" w:type="dxa"/>
            <w:tcBorders>
              <w:top w:val="nil"/>
              <w:left w:val="nil"/>
              <w:bottom w:val="single" w:color="000000" w:sz="8" w:space="0"/>
              <w:right w:val="single" w:color="000000" w:sz="8" w:space="0"/>
              <w:tl2br w:val="nil"/>
              <w:tr2bl w:val="nil"/>
            </w:tcBorders>
            <w:noWrap w:val="0"/>
            <w:vAlign w:val="center"/>
          </w:tcPr>
          <w:p>
            <w:pPr>
              <w:spacing w:line="540" w:lineRule="exact"/>
              <w:textAlignment w:val="center"/>
              <w:rPr>
                <w:rFonts w:hint="default" w:ascii="宋体" w:hAnsi="宋体" w:cs="宋体"/>
                <w:color w:val="000000"/>
                <w:kern w:val="0"/>
                <w:sz w:val="18"/>
                <w:szCs w:val="18"/>
              </w:rPr>
            </w:pPr>
            <w:r>
              <w:rPr>
                <w:rFonts w:hint="default" w:ascii="宋体" w:hAnsi="宋体" w:cs="宋体"/>
                <w:color w:val="000000"/>
                <w:kern w:val="0"/>
                <w:sz w:val="18"/>
                <w:szCs w:val="18"/>
              </w:rPr>
              <w:t>挖机租赁</w:t>
            </w:r>
          </w:p>
        </w:tc>
        <w:tc>
          <w:tcPr>
            <w:tcW w:w="1770" w:type="dxa"/>
            <w:tcBorders>
              <w:top w:val="nil"/>
              <w:left w:val="nil"/>
              <w:bottom w:val="single" w:color="000000" w:sz="8" w:space="0"/>
              <w:right w:val="single" w:color="000000" w:sz="8" w:space="0"/>
              <w:tl2br w:val="nil"/>
              <w:tr2bl w:val="nil"/>
            </w:tcBorders>
            <w:noWrap w:val="0"/>
            <w:vAlign w:val="center"/>
          </w:tcPr>
          <w:p>
            <w:pPr>
              <w:spacing w:line="540" w:lineRule="exact"/>
              <w:jc w:val="right"/>
              <w:textAlignment w:val="center"/>
              <w:rPr>
                <w:rFonts w:hint="default" w:ascii="宋体" w:hAnsi="宋体" w:cs="宋体"/>
                <w:color w:val="000000"/>
                <w:kern w:val="0"/>
                <w:sz w:val="18"/>
                <w:szCs w:val="18"/>
              </w:rPr>
            </w:pPr>
            <w:r>
              <w:rPr>
                <w:rFonts w:hint="default" w:ascii="宋体" w:hAnsi="宋体" w:cs="宋体"/>
                <w:color w:val="000000"/>
                <w:kern w:val="0"/>
                <w:sz w:val="18"/>
                <w:szCs w:val="18"/>
              </w:rPr>
              <w:t>65,400.00</w:t>
            </w:r>
          </w:p>
        </w:tc>
        <w:tc>
          <w:tcPr>
            <w:tcW w:w="1532" w:type="dxa"/>
            <w:tcBorders>
              <w:top w:val="nil"/>
              <w:left w:val="nil"/>
              <w:bottom w:val="single" w:color="000000" w:sz="8" w:space="0"/>
              <w:right w:val="nil"/>
              <w:tl2br w:val="nil"/>
              <w:tr2bl w:val="nil"/>
            </w:tcBorders>
            <w:noWrap w:val="0"/>
            <w:vAlign w:val="center"/>
          </w:tcPr>
          <w:p>
            <w:pPr>
              <w:spacing w:line="540" w:lineRule="exact"/>
              <w:jc w:val="center"/>
              <w:textAlignment w:val="center"/>
              <w:rPr>
                <w:rFonts w:hint="default" w:ascii="宋体" w:hAnsi="宋体" w:cs="宋体"/>
                <w:color w:val="000000"/>
                <w:kern w:val="0"/>
                <w:sz w:val="18"/>
                <w:szCs w:val="18"/>
              </w:rPr>
            </w:pPr>
            <w:r>
              <w:rPr>
                <w:rFonts w:hint="default" w:ascii="宋体" w:hAnsi="宋体" w:cs="宋体"/>
                <w:color w:val="000000"/>
                <w:kern w:val="0"/>
                <w:sz w:val="18"/>
                <w:szCs w:val="18"/>
              </w:rPr>
              <w:t>1.74%</w:t>
            </w:r>
          </w:p>
        </w:tc>
        <w:tc>
          <w:tcPr>
            <w:tcW w:w="1209" w:type="dxa"/>
            <w:vMerge w:val="continue"/>
            <w:tcBorders>
              <w:top w:val="single" w:color="000000" w:sz="8" w:space="0"/>
              <w:left w:val="single" w:color="000000" w:sz="8" w:space="0"/>
              <w:bottom w:val="single" w:color="000000" w:sz="8" w:space="0"/>
              <w:right w:val="single" w:color="000000" w:sz="8" w:space="0"/>
              <w:tl2br w:val="nil"/>
              <w:tr2bl w:val="nil"/>
            </w:tcBorders>
            <w:noWrap w:val="0"/>
            <w:vAlign w:val="center"/>
          </w:tcPr>
          <w:p>
            <w:pPr>
              <w:spacing w:line="540" w:lineRule="exact"/>
              <w:jc w:val="center"/>
              <w:rPr>
                <w:rFonts w:hint="default"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591" w:type="dxa"/>
            <w:tcBorders>
              <w:top w:val="nil"/>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4</w:t>
            </w:r>
          </w:p>
        </w:tc>
        <w:tc>
          <w:tcPr>
            <w:tcW w:w="1532" w:type="dxa"/>
            <w:vMerge w:val="continue"/>
            <w:tcBorders>
              <w:top w:val="nil"/>
              <w:left w:val="nil"/>
              <w:bottom w:val="single" w:color="000000" w:sz="8" w:space="0"/>
              <w:right w:val="single" w:color="000000" w:sz="8" w:space="0"/>
              <w:tl2br w:val="nil"/>
              <w:tr2bl w:val="nil"/>
            </w:tcBorders>
            <w:noWrap w:val="0"/>
            <w:vAlign w:val="center"/>
          </w:tcPr>
          <w:p>
            <w:pPr>
              <w:spacing w:line="540" w:lineRule="exact"/>
              <w:jc w:val="center"/>
              <w:rPr>
                <w:rFonts w:hint="default" w:ascii="宋体" w:hAnsi="宋体" w:cs="宋体"/>
                <w:color w:val="000000"/>
                <w:sz w:val="18"/>
                <w:szCs w:val="18"/>
              </w:rPr>
            </w:pPr>
          </w:p>
        </w:tc>
        <w:tc>
          <w:tcPr>
            <w:tcW w:w="1684" w:type="dxa"/>
            <w:tcBorders>
              <w:top w:val="nil"/>
              <w:left w:val="nil"/>
              <w:bottom w:val="single" w:color="000000" w:sz="8" w:space="0"/>
              <w:right w:val="single" w:color="000000" w:sz="8" w:space="0"/>
              <w:tl2br w:val="nil"/>
              <w:tr2bl w:val="nil"/>
            </w:tcBorders>
            <w:noWrap w:val="0"/>
            <w:vAlign w:val="center"/>
          </w:tcPr>
          <w:p>
            <w:pPr>
              <w:spacing w:line="540" w:lineRule="exact"/>
              <w:textAlignment w:val="center"/>
              <w:rPr>
                <w:rFonts w:hint="default" w:ascii="宋体" w:hAnsi="宋体" w:cs="宋体"/>
                <w:color w:val="000000"/>
                <w:sz w:val="18"/>
                <w:szCs w:val="18"/>
              </w:rPr>
            </w:pPr>
            <w:r>
              <w:rPr>
                <w:rFonts w:hint="default" w:ascii="宋体" w:hAnsi="宋体" w:cs="宋体"/>
                <w:color w:val="000000"/>
                <w:kern w:val="0"/>
                <w:sz w:val="18"/>
                <w:szCs w:val="18"/>
              </w:rPr>
              <w:t>救灾物资采购</w:t>
            </w:r>
          </w:p>
        </w:tc>
        <w:tc>
          <w:tcPr>
            <w:tcW w:w="1770" w:type="dxa"/>
            <w:tcBorders>
              <w:top w:val="nil"/>
              <w:left w:val="nil"/>
              <w:bottom w:val="single" w:color="000000" w:sz="8" w:space="0"/>
              <w:right w:val="single" w:color="000000" w:sz="8" w:space="0"/>
              <w:tl2br w:val="nil"/>
              <w:tr2bl w:val="nil"/>
            </w:tcBorders>
            <w:noWrap w:val="0"/>
            <w:vAlign w:val="center"/>
          </w:tcPr>
          <w:p>
            <w:pPr>
              <w:spacing w:line="540" w:lineRule="exact"/>
              <w:jc w:val="right"/>
              <w:textAlignment w:val="center"/>
              <w:rPr>
                <w:rFonts w:hint="default" w:ascii="宋体" w:hAnsi="宋体" w:cs="宋体"/>
                <w:color w:val="000000"/>
                <w:sz w:val="18"/>
                <w:szCs w:val="18"/>
              </w:rPr>
            </w:pPr>
            <w:r>
              <w:rPr>
                <w:rFonts w:hint="default" w:ascii="宋体" w:hAnsi="宋体" w:cs="宋体"/>
                <w:color w:val="000000"/>
                <w:kern w:val="0"/>
                <w:sz w:val="18"/>
                <w:szCs w:val="18"/>
              </w:rPr>
              <w:t>3,000,000.00</w:t>
            </w:r>
          </w:p>
        </w:tc>
        <w:tc>
          <w:tcPr>
            <w:tcW w:w="1532" w:type="dxa"/>
            <w:tcBorders>
              <w:top w:val="nil"/>
              <w:left w:val="nil"/>
              <w:bottom w:val="single" w:color="000000" w:sz="8" w:space="0"/>
              <w:right w:val="nil"/>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80.00%</w:t>
            </w:r>
          </w:p>
        </w:tc>
        <w:tc>
          <w:tcPr>
            <w:tcW w:w="1209" w:type="dxa"/>
            <w:vMerge w:val="continue"/>
            <w:tcBorders>
              <w:top w:val="single" w:color="000000" w:sz="8" w:space="0"/>
              <w:left w:val="single" w:color="000000" w:sz="8" w:space="0"/>
              <w:bottom w:val="single" w:color="000000" w:sz="8" w:space="0"/>
              <w:right w:val="single" w:color="000000" w:sz="8" w:space="0"/>
              <w:tl2br w:val="nil"/>
              <w:tr2bl w:val="nil"/>
            </w:tcBorders>
            <w:noWrap w:val="0"/>
            <w:vAlign w:val="center"/>
          </w:tcPr>
          <w:p>
            <w:pPr>
              <w:spacing w:line="540" w:lineRule="exact"/>
              <w:jc w:val="center"/>
              <w:rPr>
                <w:rFonts w:hint="default" w:ascii="宋体" w:hAnsi="宋体" w:cs="宋体"/>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91" w:type="dxa"/>
            <w:tcBorders>
              <w:top w:val="nil"/>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合计</w:t>
            </w:r>
          </w:p>
        </w:tc>
        <w:tc>
          <w:tcPr>
            <w:tcW w:w="1532" w:type="dxa"/>
            <w:tcBorders>
              <w:top w:val="nil"/>
              <w:left w:val="nil"/>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375</w:t>
            </w:r>
          </w:p>
        </w:tc>
        <w:tc>
          <w:tcPr>
            <w:tcW w:w="1684" w:type="dxa"/>
            <w:tcBorders>
              <w:top w:val="nil"/>
              <w:left w:val="nil"/>
              <w:bottom w:val="single" w:color="000000" w:sz="8" w:space="0"/>
              <w:right w:val="single" w:color="000000" w:sz="8" w:space="0"/>
              <w:tl2br w:val="nil"/>
              <w:tr2bl w:val="nil"/>
            </w:tcBorders>
            <w:noWrap w:val="0"/>
            <w:vAlign w:val="center"/>
          </w:tcPr>
          <w:p>
            <w:pPr>
              <w:spacing w:line="540" w:lineRule="exact"/>
              <w:jc w:val="center"/>
              <w:rPr>
                <w:rFonts w:hint="default" w:ascii="宋体" w:hAnsi="宋体" w:cs="宋体"/>
                <w:color w:val="000000"/>
                <w:sz w:val="18"/>
                <w:szCs w:val="18"/>
              </w:rPr>
            </w:pPr>
          </w:p>
        </w:tc>
        <w:tc>
          <w:tcPr>
            <w:tcW w:w="1770" w:type="dxa"/>
            <w:tcBorders>
              <w:top w:val="nil"/>
              <w:left w:val="nil"/>
              <w:bottom w:val="single" w:color="000000" w:sz="8" w:space="0"/>
              <w:right w:val="single" w:color="000000" w:sz="8" w:space="0"/>
              <w:tl2br w:val="nil"/>
              <w:tr2bl w:val="nil"/>
            </w:tcBorders>
            <w:noWrap w:val="0"/>
            <w:vAlign w:val="center"/>
          </w:tcPr>
          <w:p>
            <w:pPr>
              <w:spacing w:line="540" w:lineRule="exact"/>
              <w:jc w:val="right"/>
              <w:textAlignment w:val="center"/>
              <w:rPr>
                <w:rFonts w:hint="default" w:ascii="宋体" w:hAnsi="宋体" w:cs="宋体"/>
                <w:color w:val="000000"/>
                <w:sz w:val="18"/>
                <w:szCs w:val="18"/>
              </w:rPr>
            </w:pPr>
            <w:r>
              <w:rPr>
                <w:rFonts w:hint="default" w:ascii="宋体" w:hAnsi="宋体" w:cs="宋体"/>
                <w:color w:val="000000"/>
                <w:kern w:val="0"/>
                <w:sz w:val="18"/>
                <w:szCs w:val="18"/>
              </w:rPr>
              <w:t>3,750,000.00</w:t>
            </w:r>
          </w:p>
        </w:tc>
        <w:tc>
          <w:tcPr>
            <w:tcW w:w="1532" w:type="dxa"/>
            <w:tcBorders>
              <w:top w:val="nil"/>
              <w:left w:val="nil"/>
              <w:bottom w:val="single" w:color="000000" w:sz="8" w:space="0"/>
              <w:right w:val="nil"/>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100.00%</w:t>
            </w:r>
          </w:p>
        </w:tc>
        <w:tc>
          <w:tcPr>
            <w:tcW w:w="1209" w:type="dxa"/>
            <w:tcBorders>
              <w:top w:val="single" w:color="000000" w:sz="8" w:space="0"/>
              <w:left w:val="single" w:color="000000" w:sz="8" w:space="0"/>
              <w:bottom w:val="single" w:color="000000" w:sz="8" w:space="0"/>
              <w:right w:val="single" w:color="000000" w:sz="8" w:space="0"/>
              <w:tl2br w:val="nil"/>
              <w:tr2bl w:val="nil"/>
            </w:tcBorders>
            <w:noWrap w:val="0"/>
            <w:vAlign w:val="center"/>
          </w:tcPr>
          <w:p>
            <w:pPr>
              <w:spacing w:line="540" w:lineRule="exact"/>
              <w:jc w:val="center"/>
              <w:textAlignment w:val="center"/>
              <w:rPr>
                <w:rFonts w:hint="default" w:ascii="宋体" w:hAnsi="宋体" w:cs="宋体"/>
                <w:color w:val="000000"/>
                <w:sz w:val="18"/>
                <w:szCs w:val="18"/>
              </w:rPr>
            </w:pPr>
            <w:r>
              <w:rPr>
                <w:rFonts w:hint="default" w:ascii="宋体" w:hAnsi="宋体" w:cs="宋体"/>
                <w:color w:val="000000"/>
                <w:kern w:val="0"/>
                <w:sz w:val="18"/>
                <w:szCs w:val="18"/>
              </w:rPr>
              <w:t>100.00%</w:t>
            </w:r>
          </w:p>
        </w:tc>
      </w:tr>
    </w:tbl>
    <w:p>
      <w:pPr>
        <w:spacing w:line="540" w:lineRule="exact"/>
        <w:ind w:firstLine="803" w:firstLineChars="250"/>
        <w:rPr>
          <w:rFonts w:hint="default" w:ascii="宋体" w:hAnsi="宋体" w:cs="Times New Roman"/>
          <w:color w:val="000000"/>
          <w:kern w:val="0"/>
          <w:sz w:val="32"/>
          <w:szCs w:val="24"/>
          <w:highlight w:val="white"/>
          <w:lang w:val="en-US"/>
        </w:rPr>
      </w:pPr>
      <w:r>
        <w:rPr>
          <w:rFonts w:hint="default" w:ascii="楷体" w:hAnsi="楷体" w:eastAsia="楷体" w:cs="楷体"/>
          <w:b/>
          <w:bCs/>
          <w:color w:val="000000"/>
          <w:kern w:val="0"/>
          <w:sz w:val="32"/>
          <w:szCs w:val="32"/>
          <w:highlight w:val="white"/>
          <w:lang w:val="en-US"/>
        </w:rPr>
        <w:t>（三）项目资金管理情况。</w:t>
      </w:r>
      <w:r>
        <w:rPr>
          <w:rFonts w:hint="default" w:ascii="仿宋" w:hAnsi="仿宋" w:eastAsia="仿宋" w:cs="仿宋"/>
          <w:color w:val="000000"/>
          <w:kern w:val="0"/>
          <w:sz w:val="32"/>
          <w:szCs w:val="24"/>
          <w:highlight w:val="white"/>
          <w:lang w:val="en-US" w:eastAsia="zh-CN"/>
        </w:rPr>
        <w:t>项目资金由南县财政局将南县应急管理局的预算经费下达指标支付令，南县应急管理局根据需要申请拨款，再由南县财政局国库集中支付，费用报销程序基本合规，相关手续较完善。</w:t>
      </w:r>
    </w:p>
    <w:p>
      <w:pPr>
        <w:tabs>
          <w:tab w:val="left" w:pos="5567"/>
        </w:tabs>
        <w:spacing w:line="540" w:lineRule="exact"/>
        <w:ind w:left="760"/>
        <w:rPr>
          <w:rFonts w:hint="eastAsia" w:ascii="仿宋" w:hAnsi="仿宋" w:eastAsia="仿宋"/>
          <w:b/>
          <w:sz w:val="32"/>
          <w:szCs w:val="24"/>
        </w:rPr>
      </w:pPr>
      <w:r>
        <w:rPr>
          <w:rFonts w:hint="eastAsia" w:ascii="黑体" w:hAnsi="黑体" w:eastAsia="黑体" w:cs="黑体"/>
          <w:b/>
          <w:sz w:val="32"/>
          <w:szCs w:val="24"/>
        </w:rPr>
        <w:t>三、项目组织实施情况</w:t>
      </w:r>
      <w:r>
        <w:rPr>
          <w:rFonts w:hint="eastAsia" w:ascii="仿宋" w:hAnsi="仿宋" w:eastAsia="仿宋"/>
          <w:b/>
          <w:sz w:val="32"/>
          <w:szCs w:val="24"/>
        </w:rPr>
        <w:tab/>
      </w:r>
    </w:p>
    <w:p>
      <w:pPr>
        <w:spacing w:line="540" w:lineRule="exact"/>
        <w:ind w:firstLine="803" w:firstLineChars="250"/>
        <w:rPr>
          <w:rFonts w:hint="default" w:ascii="宋体" w:hAnsi="宋体" w:cs="Times New Roman"/>
          <w:color w:val="000000"/>
          <w:kern w:val="0"/>
          <w:sz w:val="32"/>
          <w:szCs w:val="24"/>
          <w:highlight w:val="white"/>
          <w:lang w:val="en-US"/>
        </w:rPr>
      </w:pPr>
      <w:r>
        <w:rPr>
          <w:rFonts w:hint="default" w:ascii="楷体" w:hAnsi="楷体" w:eastAsia="楷体" w:cs="楷体"/>
          <w:b/>
          <w:bCs/>
          <w:color w:val="000000"/>
          <w:kern w:val="0"/>
          <w:sz w:val="32"/>
          <w:szCs w:val="32"/>
          <w:highlight w:val="white"/>
          <w:lang w:val="en-US"/>
        </w:rPr>
        <w:t>（一）制度建设情况。</w:t>
      </w:r>
      <w:r>
        <w:rPr>
          <w:rFonts w:hint="default" w:ascii="仿宋" w:hAnsi="仿宋" w:eastAsia="仿宋" w:cs="仿宋"/>
          <w:color w:val="000000"/>
          <w:kern w:val="0"/>
          <w:sz w:val="32"/>
          <w:szCs w:val="24"/>
          <w:highlight w:val="white"/>
          <w:lang w:val="en-US" w:eastAsia="zh-CN"/>
        </w:rPr>
        <w:t>为进一步规范财政资金管理，强化财政资金支出绩效理念，切实提高财政资金使用效益，认真遵照执行《湖南省应急管理厅关于规范管理使用2020年度中央自然灾害防治体系建设补助资金的通知》湘应急函[2020]76号文件；制订了《南县应急管理局机关财务管理制度》等资金管理制度，要求对项目资金，由牵头股室编制项目实施方案（用款计划），明确项目的任务安排，组织形式，实施进度和资金总额，合理确定项目的开支内容，分管领导审核后，交局长或局党组审定批复，提高财政资金使用效益。</w:t>
      </w:r>
    </w:p>
    <w:p>
      <w:pPr>
        <w:spacing w:line="540" w:lineRule="exact"/>
        <w:ind w:firstLine="803" w:firstLineChars="250"/>
        <w:rPr>
          <w:rFonts w:hint="default" w:ascii="楷体" w:hAnsi="楷体" w:eastAsia="楷体" w:cs="楷体"/>
          <w:b/>
          <w:bCs/>
          <w:color w:val="000000"/>
          <w:kern w:val="0"/>
          <w:sz w:val="32"/>
          <w:szCs w:val="32"/>
          <w:highlight w:val="white"/>
          <w:lang w:val="en-US"/>
        </w:rPr>
      </w:pPr>
      <w:r>
        <w:rPr>
          <w:rFonts w:hint="default" w:ascii="楷体" w:hAnsi="楷体" w:eastAsia="楷体" w:cs="楷体"/>
          <w:b/>
          <w:bCs/>
          <w:color w:val="000000"/>
          <w:kern w:val="0"/>
          <w:sz w:val="32"/>
          <w:szCs w:val="32"/>
          <w:highlight w:val="white"/>
          <w:lang w:val="en-US"/>
        </w:rPr>
        <w:t>（二）项目实施情况。</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一是召开党组会议确定资金使用方案：根据2020年10月28日湘财企指[2020]66号文件要求及规模，县应急局分别于2020年11月10日、2020年12月29日召开党组会议商讨应急物资和防汛物资采购事宜，并与财政局和水利局对接，确定75万元备灾点防汛物资采购全部用于采购防汛抢险卵石，300万备灾点救灾物资采购全部用于应急救援物资，并编制较为完善的《采购需求》和《南县政府采购实施计划备案表》。</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二是履行政府采购、招标等相关程序：1.县应急局委托湖南阳光建设工程项目管理有限公司对防汛卵石采购进行竞争性磋商采购，并于2020年11月25日在益阳公共资源交易中心发面邀请公告，2020年12月11日湖南舜升建材有限公司中标，中标金额74.50万元，于2020年12月14日签订《防汛抢险卵石采购合同》采购7000吨1-4厘米清水卵石，合同金额74.5万元。因湘财企指[2020]66号下达资金为75万元，而中标金额为74.5万元，为确保专项资金足额专款专用，县应急管理局于2020年12月16日与中标单位《防汛抢险卵石采购合同补充协议书》将采购变更由7000吨变更为7050吨，合同金额变更为75.00万元。因上级要求本项目资金必须在2021年元月底前完成防汛物资采购，不能推迟到2021年丰水期采购，当时正值冬枯水位时期，南县藕池河全部断流，货船不能将卵石运送到各个备灾点，须用车第二次运输到各个备灾点，所以由中标公司委托“湖南旺锦货物运输有限公司于2020年12月20日签订运输委托协议，委托其对防汛卵石进行运送，运输协议金额25.02万元。2.县应急管理局2020年11月20日委托益阳家诚项目管理有限公司作为招标代理机构对2020年救灾物资采购进行政府采购事宜，益阳家诚项目管理有限公司于2020年11月25日发布公开招标公告，2020年12月17日长沙环康科技有限公司以299.8811万元中标，县应急管理局于2021年2月4日与中标单位签订《政府采购合同协议书》合同金额299.8811万元、于2021年2月4日与中标单位签订《购销合同》(补充协议)，合同金额0.1189万元，2项合同合计金额300.00万元。</w:t>
      </w:r>
    </w:p>
    <w:p>
      <w:pPr>
        <w:spacing w:line="540" w:lineRule="exact"/>
        <w:ind w:firstLine="800" w:firstLineChars="250"/>
        <w:rPr>
          <w:rFonts w:hint="default" w:ascii="宋体" w:hAnsi="宋体" w:cs="Times New Roman"/>
          <w:color w:val="000000"/>
          <w:kern w:val="0"/>
          <w:sz w:val="32"/>
          <w:szCs w:val="24"/>
          <w:highlight w:val="white"/>
          <w:lang w:val="en-US"/>
        </w:rPr>
      </w:pPr>
      <w:r>
        <w:rPr>
          <w:rFonts w:hint="default" w:ascii="仿宋" w:hAnsi="仿宋" w:eastAsia="仿宋" w:cs="仿宋"/>
          <w:color w:val="000000"/>
          <w:kern w:val="0"/>
          <w:sz w:val="32"/>
          <w:szCs w:val="24"/>
          <w:highlight w:val="white"/>
          <w:lang w:val="en-US" w:eastAsia="zh-CN"/>
        </w:rPr>
        <w:t>三是验收入库。2021年1月11日采购防汛卵石7056吨（绩效目标申报值为7400吨），运送至5个乡镇：华阁镇育新剅砂石库围2058吨、明山头镇丰安坝砂石库围1050号、浪拔湖镇哑巴渡砂石库围882吨、南洲镇四五河坝砂石库围1050吨、中鱼口镇游港富民砂石库围2016吨。于 2021年1月13日经南县财政局副局长郭志欢、南县水利局副局长姚年华、南县应急管理局副局长余俊卿、南县财政局股长张先锋等10人签字验收。县应急管理局300万元救灾物资于2021年4月15日运送到南县经开区物资仓库内，由向军等人签收入库。因此，本项目在整个实施过程中，程序和手续等都比较完备。</w:t>
      </w:r>
    </w:p>
    <w:p>
      <w:pPr>
        <w:spacing w:line="540" w:lineRule="exact"/>
        <w:ind w:firstLine="480"/>
        <w:rPr>
          <w:rFonts w:hint="eastAsia" w:ascii="黑体" w:hAnsi="黑体" w:eastAsia="黑体" w:cs="黑体"/>
          <w:b/>
          <w:sz w:val="32"/>
          <w:szCs w:val="24"/>
        </w:rPr>
      </w:pPr>
      <w:r>
        <w:rPr>
          <w:rFonts w:hint="eastAsia" w:ascii="黑体" w:hAnsi="黑体" w:eastAsia="黑体" w:cs="黑体"/>
          <w:b/>
          <w:sz w:val="32"/>
          <w:szCs w:val="24"/>
        </w:rPr>
        <w:t>四、绩效评价工作情况</w:t>
      </w:r>
    </w:p>
    <w:p>
      <w:pPr>
        <w:spacing w:line="540" w:lineRule="exact"/>
        <w:ind w:firstLine="803" w:firstLineChars="250"/>
        <w:rPr>
          <w:rFonts w:hint="eastAsia" w:ascii="楷体" w:hAnsi="楷体" w:eastAsia="楷体" w:cs="楷体"/>
          <w:b/>
          <w:bCs/>
          <w:color w:val="000000"/>
          <w:kern w:val="0"/>
          <w:sz w:val="32"/>
          <w:szCs w:val="24"/>
          <w:highlight w:val="white"/>
          <w:lang w:val="en-US" w:eastAsia="zh-CN"/>
        </w:rPr>
      </w:pPr>
      <w:r>
        <w:rPr>
          <w:rFonts w:hint="eastAsia" w:ascii="楷体" w:hAnsi="楷体" w:eastAsia="楷体" w:cs="楷体"/>
          <w:b/>
          <w:bCs/>
          <w:color w:val="000000"/>
          <w:kern w:val="0"/>
          <w:sz w:val="32"/>
          <w:szCs w:val="24"/>
          <w:highlight w:val="white"/>
          <w:lang w:val="en-US"/>
        </w:rPr>
        <w:t>（一）绩效评价目的</w:t>
      </w:r>
      <w:r>
        <w:rPr>
          <w:rFonts w:hint="eastAsia" w:ascii="楷体" w:hAnsi="楷体" w:eastAsia="楷体" w:cs="楷体"/>
          <w:b/>
          <w:bCs/>
          <w:color w:val="000000"/>
          <w:kern w:val="0"/>
          <w:sz w:val="32"/>
          <w:szCs w:val="24"/>
          <w:highlight w:val="white"/>
          <w:lang w:val="en-US" w:eastAsia="zh-CN"/>
        </w:rPr>
        <w:t>。</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通过绩效评价全面分析该项目资金使用、管理和项目实施情况，进一步规范“中央自然灾害防治体系建设补助资金”的使用，强化财政资金支出绩效理念，切实提高财政资金使用效益。</w:t>
      </w:r>
    </w:p>
    <w:p>
      <w:pPr>
        <w:spacing w:line="540" w:lineRule="exact"/>
        <w:ind w:firstLine="803" w:firstLineChars="250"/>
        <w:rPr>
          <w:rFonts w:hint="eastAsia" w:ascii="楷体" w:hAnsi="楷体" w:eastAsia="楷体" w:cs="楷体"/>
          <w:b/>
          <w:bCs/>
          <w:color w:val="000000"/>
          <w:kern w:val="0"/>
          <w:sz w:val="32"/>
          <w:szCs w:val="24"/>
          <w:highlight w:val="white"/>
          <w:lang w:val="en-US" w:eastAsia="zh-CN"/>
        </w:rPr>
      </w:pPr>
      <w:r>
        <w:rPr>
          <w:rFonts w:hint="eastAsia" w:ascii="楷体" w:hAnsi="楷体" w:eastAsia="楷体" w:cs="楷体"/>
          <w:b/>
          <w:bCs/>
          <w:color w:val="000000"/>
          <w:kern w:val="0"/>
          <w:sz w:val="32"/>
          <w:szCs w:val="24"/>
          <w:highlight w:val="white"/>
          <w:lang w:val="en-US"/>
        </w:rPr>
        <w:t>（二）绩效评价工作过程</w:t>
      </w:r>
      <w:r>
        <w:rPr>
          <w:rFonts w:hint="eastAsia" w:ascii="楷体" w:hAnsi="楷体" w:eastAsia="楷体" w:cs="楷体"/>
          <w:b/>
          <w:bCs/>
          <w:color w:val="000000"/>
          <w:kern w:val="0"/>
          <w:sz w:val="32"/>
          <w:szCs w:val="24"/>
          <w:highlight w:val="white"/>
          <w:lang w:val="en-US" w:eastAsia="zh-CN"/>
        </w:rPr>
        <w:t>。</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根据南县财政局《关于对2020年度专项资金开展重点绩效评价工作的通知》(南财绩函[2021]10号)文件要求，我所按下列步骤开展了绩效评价工作：</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1.前期准备。我所抽调专人成立了绩效评价工作组，明确了工作职责，制定了现场评价方案，设计了相关表格，联系了相关部门和单位，确定了实施时间。</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pPr>
        <w:pStyle w:val="4"/>
        <w:ind w:firstLine="482" w:firstLineChars="150"/>
        <w:rPr>
          <w:rFonts w:hint="eastAsia" w:ascii="黑体" w:hAnsi="黑体" w:eastAsia="黑体" w:cs="黑体"/>
          <w:b/>
          <w:sz w:val="32"/>
          <w:szCs w:val="32"/>
        </w:rPr>
      </w:pPr>
      <w:r>
        <w:rPr>
          <w:rFonts w:hint="eastAsia" w:ascii="黑体" w:hAnsi="黑体" w:eastAsia="黑体" w:cs="黑体"/>
          <w:b/>
          <w:sz w:val="32"/>
          <w:szCs w:val="32"/>
        </w:rPr>
        <w:t>五、绩效评价结果和绩效分析</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根据该项目资金绩效评价指标体系和绩效检查情况，该项目整体绩效分值100分，实得84分，被评为“良好”等级(详见：南县应急管理局“2020年中央自然灾害防治体系建设补助资金 ”绩效评价指标评分表)。主要绩效表现在以下几个方面：</w:t>
      </w:r>
    </w:p>
    <w:p>
      <w:pPr>
        <w:spacing w:line="540" w:lineRule="exact"/>
        <w:ind w:firstLine="803" w:firstLineChars="250"/>
        <w:rPr>
          <w:rFonts w:hint="eastAsia" w:ascii="楷体" w:hAnsi="楷体" w:eastAsia="楷体" w:cs="楷体"/>
          <w:b/>
          <w:bCs/>
          <w:color w:val="000000"/>
          <w:kern w:val="0"/>
          <w:sz w:val="32"/>
          <w:szCs w:val="24"/>
          <w:highlight w:val="white"/>
          <w:lang w:val="en-US"/>
        </w:rPr>
      </w:pPr>
      <w:r>
        <w:rPr>
          <w:rFonts w:hint="eastAsia" w:ascii="楷体" w:hAnsi="楷体" w:eastAsia="楷体" w:cs="楷体"/>
          <w:b/>
          <w:bCs/>
          <w:color w:val="000000"/>
          <w:kern w:val="0"/>
          <w:sz w:val="32"/>
          <w:szCs w:val="24"/>
          <w:highlight w:val="white"/>
          <w:lang w:val="en-US"/>
        </w:rPr>
        <w:t>（一）项目经济性分析：</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该专项资金主要用于南县备灾点救灾物资、南县备灾点防汛物资的采购上，虽然没有直面的经济效益，但防汛、救灾物资的储备能够对自然灾害的防治及应急管理工作提供坚实的后背力量，能够预防、避免自然灾害带来的损失，一定意义上来说也产生了较大的经济效益。</w:t>
      </w:r>
    </w:p>
    <w:p>
      <w:pPr>
        <w:spacing w:line="540" w:lineRule="exact"/>
        <w:ind w:firstLine="803" w:firstLineChars="250"/>
        <w:rPr>
          <w:rFonts w:hint="eastAsia" w:ascii="楷体" w:hAnsi="楷体" w:eastAsia="楷体" w:cs="楷体"/>
          <w:b/>
          <w:bCs/>
          <w:color w:val="000000"/>
          <w:kern w:val="0"/>
          <w:sz w:val="32"/>
          <w:szCs w:val="24"/>
          <w:highlight w:val="white"/>
          <w:lang w:val="en-US"/>
        </w:rPr>
      </w:pPr>
      <w:r>
        <w:rPr>
          <w:rFonts w:hint="eastAsia" w:ascii="楷体" w:hAnsi="楷体" w:eastAsia="楷体" w:cs="楷体"/>
          <w:b/>
          <w:bCs/>
          <w:color w:val="000000"/>
          <w:kern w:val="0"/>
          <w:sz w:val="32"/>
          <w:szCs w:val="24"/>
          <w:highlight w:val="white"/>
          <w:lang w:val="en-US"/>
        </w:rPr>
        <w:t>（二）项目有效性分析：</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2020年通过基层备灾点防汛物资采购及备灾点救灾物资采购工作，有效提升了基层备灾能力，保证了灾区的社会秩序稳定，提升了全县防灾减灾水平和应急物资储备保障能力，没有发生重大负面舆情事件，让全县人民能够安居乐业，安心生产，具有较好的社会意义。</w:t>
      </w:r>
    </w:p>
    <w:p>
      <w:pPr>
        <w:spacing w:line="540" w:lineRule="exact"/>
        <w:ind w:firstLine="803" w:firstLineChars="250"/>
        <w:rPr>
          <w:rFonts w:hint="default" w:ascii="楷体" w:hAnsi="楷体" w:eastAsia="楷体" w:cs="楷体"/>
          <w:b/>
          <w:bCs/>
          <w:color w:val="000000"/>
          <w:kern w:val="0"/>
          <w:sz w:val="32"/>
          <w:szCs w:val="24"/>
          <w:highlight w:val="white"/>
          <w:lang w:val="en-US"/>
        </w:rPr>
      </w:pPr>
      <w:r>
        <w:rPr>
          <w:rFonts w:hint="default" w:ascii="楷体" w:hAnsi="楷体" w:eastAsia="楷体" w:cs="楷体"/>
          <w:b/>
          <w:bCs/>
          <w:color w:val="000000"/>
          <w:kern w:val="0"/>
          <w:sz w:val="32"/>
          <w:szCs w:val="24"/>
          <w:highlight w:val="white"/>
          <w:lang w:val="en-US"/>
        </w:rPr>
        <w:t>（三）项目可持续影响分析：</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2020年南县应急管理局“中央自然灾害防治体系建设补助”通过对备灾点防汛物资采购及备灾点救灾物资采购工作，逐步增强了基层防汛备灾能力；而且南县处于长江水系洞庭湖湿地，丰水季常年受到上游洪水的侵扰，通过自然灾害防治体系建设，可持续发挥减灾救灾的作用。</w:t>
      </w:r>
    </w:p>
    <w:p>
      <w:pPr>
        <w:pStyle w:val="4"/>
        <w:ind w:firstLine="482" w:firstLineChars="150"/>
        <w:rPr>
          <w:rFonts w:hint="eastAsia" w:ascii="黑体" w:hAnsi="黑体" w:eastAsia="黑体" w:cs="黑体"/>
          <w:b/>
          <w:sz w:val="32"/>
          <w:szCs w:val="32"/>
        </w:rPr>
      </w:pPr>
      <w:r>
        <w:rPr>
          <w:rFonts w:hint="eastAsia" w:ascii="黑体" w:hAnsi="黑体" w:eastAsia="黑体" w:cs="黑体"/>
          <w:b/>
          <w:sz w:val="32"/>
          <w:szCs w:val="32"/>
        </w:rPr>
        <w:t>六、存在的主要问题</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南县应急管理局 “2020年中央自然灾害防治体系建设补助”专项资金在项目决策上合理，实施过程中领导重视，管理较规范，较好的达到了预期的绩效目标，但有些方面仍有不足，主要有：</w:t>
      </w:r>
    </w:p>
    <w:p>
      <w:pPr>
        <w:spacing w:line="540" w:lineRule="exact"/>
        <w:ind w:firstLine="803" w:firstLineChars="250"/>
        <w:rPr>
          <w:rFonts w:hint="default" w:ascii="宋体" w:hAnsi="宋体" w:cs="Times New Roman"/>
          <w:color w:val="000000"/>
          <w:kern w:val="0"/>
          <w:sz w:val="32"/>
          <w:szCs w:val="24"/>
          <w:highlight w:val="white"/>
          <w:lang w:val="en-US"/>
        </w:rPr>
      </w:pPr>
      <w:r>
        <w:rPr>
          <w:rFonts w:hint="eastAsia" w:ascii="楷体" w:hAnsi="楷体" w:eastAsia="楷体" w:cs="楷体"/>
          <w:b/>
          <w:bCs/>
          <w:color w:val="000000"/>
          <w:kern w:val="0"/>
          <w:sz w:val="32"/>
          <w:szCs w:val="24"/>
          <w:highlight w:val="white"/>
          <w:lang w:val="en-US"/>
        </w:rPr>
        <w:t>(一)预算执行进度不足，超过规定时间执行情况。</w:t>
      </w:r>
      <w:r>
        <w:rPr>
          <w:rFonts w:hint="default" w:ascii="仿宋" w:hAnsi="仿宋" w:eastAsia="仿宋" w:cs="仿宋"/>
          <w:color w:val="000000"/>
          <w:kern w:val="0"/>
          <w:sz w:val="32"/>
          <w:szCs w:val="24"/>
          <w:highlight w:val="white"/>
          <w:lang w:val="en-US" w:eastAsia="zh-CN"/>
        </w:rPr>
        <w:t>2020年11月6日湖南省财政厅出具《关于规范管理使用2020年度中央自然灾害防治体系建设补助资金的通知》(湘应急函[2020]76号)要求物资采购任务原则于2020年12月底前完成，最迟不得晚于2021年2月10日。但县应急局2021年2月10日前仅支付75.00万元，预算执行率20%。</w:t>
      </w:r>
    </w:p>
    <w:p>
      <w:pPr>
        <w:spacing w:line="540" w:lineRule="exact"/>
        <w:ind w:firstLine="803" w:firstLineChars="250"/>
        <w:rPr>
          <w:rFonts w:hint="eastAsia" w:ascii="宋体" w:hAnsi="宋体" w:eastAsia="宋体" w:cs="Times New Roman"/>
          <w:color w:val="000000"/>
          <w:kern w:val="0"/>
          <w:sz w:val="32"/>
          <w:szCs w:val="24"/>
          <w:highlight w:val="white"/>
          <w:lang w:val="en-US" w:eastAsia="zh-CN"/>
        </w:rPr>
      </w:pPr>
      <w:r>
        <w:rPr>
          <w:rFonts w:hint="default" w:ascii="楷体" w:hAnsi="楷体" w:eastAsia="楷体" w:cs="楷体"/>
          <w:b/>
          <w:bCs/>
          <w:color w:val="000000"/>
          <w:kern w:val="0"/>
          <w:sz w:val="32"/>
          <w:szCs w:val="24"/>
          <w:highlight w:val="white"/>
          <w:lang w:val="en-US"/>
        </w:rPr>
        <w:t>(二)资金使用及会计核算工作欠规范</w:t>
      </w:r>
      <w:r>
        <w:rPr>
          <w:rFonts w:hint="eastAsia" w:ascii="楷体" w:hAnsi="楷体" w:eastAsia="楷体" w:cs="楷体"/>
          <w:b/>
          <w:bCs/>
          <w:color w:val="000000"/>
          <w:kern w:val="0"/>
          <w:sz w:val="32"/>
          <w:szCs w:val="24"/>
          <w:highlight w:val="white"/>
          <w:lang w:val="en-US" w:eastAsia="zh-CN"/>
        </w:rPr>
        <w:t>。</w:t>
      </w:r>
    </w:p>
    <w:p>
      <w:pPr>
        <w:spacing w:line="540" w:lineRule="exact"/>
        <w:ind w:firstLine="800" w:firstLineChars="250"/>
        <w:rPr>
          <w:rFonts w:hint="default" w:ascii="宋体" w:hAnsi="宋体" w:cs="Times New Roman"/>
          <w:color w:val="000000"/>
          <w:kern w:val="0"/>
          <w:sz w:val="32"/>
          <w:szCs w:val="24"/>
          <w:highlight w:val="white"/>
          <w:lang w:val="en-US"/>
        </w:rPr>
      </w:pPr>
      <w:r>
        <w:rPr>
          <w:rFonts w:hint="default" w:ascii="仿宋" w:hAnsi="仿宋" w:eastAsia="仿宋" w:cs="仿宋"/>
          <w:color w:val="000000"/>
          <w:kern w:val="0"/>
          <w:sz w:val="32"/>
          <w:szCs w:val="24"/>
          <w:highlight w:val="white"/>
          <w:lang w:val="en-US" w:eastAsia="zh-CN"/>
        </w:rPr>
        <w:t>该项目开支未按照湘财企指[2020]66号《湖南省财政厅关于下达2020年中央自然灾害防治体系建设补助资金预算的通知》在账务上设置“中央自然灾害防治体系建设补助资金”科目，将专项资金的收入及支出均记入在“省级专项”-行政运行科目中，为明确不同的项目资金，应将各专项资金在记账时设立相应的次级科目。</w:t>
      </w:r>
    </w:p>
    <w:p>
      <w:pPr>
        <w:spacing w:line="540" w:lineRule="exact"/>
        <w:ind w:firstLine="803" w:firstLineChars="250"/>
        <w:rPr>
          <w:rFonts w:hint="default" w:ascii="仿宋" w:hAnsi="仿宋" w:eastAsia="仿宋" w:cs="仿宋"/>
          <w:color w:val="000000"/>
          <w:kern w:val="0"/>
          <w:sz w:val="32"/>
          <w:szCs w:val="24"/>
          <w:highlight w:val="white"/>
          <w:lang w:val="en-US" w:eastAsia="zh-CN"/>
        </w:rPr>
      </w:pPr>
      <w:r>
        <w:rPr>
          <w:rFonts w:hint="default" w:ascii="楷体" w:hAnsi="楷体" w:eastAsia="楷体" w:cs="楷体"/>
          <w:b/>
          <w:bCs/>
          <w:color w:val="000000"/>
          <w:kern w:val="0"/>
          <w:sz w:val="32"/>
          <w:szCs w:val="24"/>
          <w:highlight w:val="white"/>
          <w:lang w:val="en-US"/>
        </w:rPr>
        <w:t>(三)项目管理制度不完善。</w:t>
      </w:r>
      <w:r>
        <w:rPr>
          <w:rFonts w:hint="default" w:ascii="仿宋" w:hAnsi="仿宋" w:eastAsia="仿宋" w:cs="仿宋"/>
          <w:color w:val="000000"/>
          <w:kern w:val="0"/>
          <w:sz w:val="32"/>
          <w:szCs w:val="24"/>
          <w:highlight w:val="white"/>
          <w:lang w:val="en-US" w:eastAsia="zh-CN"/>
        </w:rPr>
        <w:t>项目单位虽制定了各项管理及考核办法，但未提供专项资金管理办法，且对项目申报及资金的监督检查等均没有详细规定。</w:t>
      </w:r>
    </w:p>
    <w:p>
      <w:pPr>
        <w:spacing w:line="540" w:lineRule="exact"/>
        <w:ind w:firstLine="803" w:firstLineChars="250"/>
        <w:rPr>
          <w:rFonts w:hint="default" w:ascii="宋体" w:hAnsi="宋体" w:cs="Times New Roman"/>
          <w:color w:val="000000"/>
          <w:kern w:val="0"/>
          <w:sz w:val="32"/>
          <w:szCs w:val="24"/>
          <w:highlight w:val="white"/>
          <w:lang w:val="en-US"/>
        </w:rPr>
      </w:pPr>
      <w:r>
        <w:rPr>
          <w:rFonts w:hint="default" w:ascii="楷体" w:hAnsi="楷体" w:eastAsia="楷体" w:cs="楷体"/>
          <w:b/>
          <w:bCs/>
          <w:color w:val="000000"/>
          <w:kern w:val="0"/>
          <w:sz w:val="32"/>
          <w:szCs w:val="24"/>
          <w:highlight w:val="white"/>
          <w:lang w:val="en-US"/>
        </w:rPr>
        <w:t>(四)监督检查工作未到位，有待加强。</w:t>
      </w:r>
      <w:r>
        <w:rPr>
          <w:rFonts w:hint="default" w:ascii="仿宋" w:hAnsi="仿宋" w:eastAsia="仿宋" w:cs="仿宋"/>
          <w:color w:val="000000"/>
          <w:kern w:val="0"/>
          <w:sz w:val="32"/>
          <w:szCs w:val="24"/>
          <w:highlight w:val="white"/>
          <w:lang w:val="en-US" w:eastAsia="zh-CN"/>
        </w:rPr>
        <w:t>该项目资金的使用的及项目实施过程中，均未提供督查检查资料，监督检查是保证预算执行的重要手段，通过实施内部监督检查，可以及时查找并督促整改财政管理中存在的问题，发挥监督预算、纠偏、评价及监管职能 ，推动财政管理更加规范、科学、合理、高效。本工作专项没有受到财政或主管部门的监督检查。</w:t>
      </w:r>
    </w:p>
    <w:p>
      <w:pPr>
        <w:spacing w:line="540" w:lineRule="exact"/>
        <w:ind w:firstLine="803" w:firstLineChars="250"/>
        <w:rPr>
          <w:rFonts w:hint="default" w:ascii="宋体" w:hAnsi="宋体" w:cs="Times New Roman"/>
          <w:color w:val="000000"/>
          <w:kern w:val="0"/>
          <w:sz w:val="32"/>
          <w:szCs w:val="24"/>
          <w:highlight w:val="white"/>
          <w:lang w:val="en-US"/>
        </w:rPr>
      </w:pPr>
      <w:r>
        <w:rPr>
          <w:rFonts w:hint="default" w:ascii="楷体" w:hAnsi="楷体" w:eastAsia="楷体" w:cs="楷体"/>
          <w:b/>
          <w:bCs/>
          <w:color w:val="000000"/>
          <w:kern w:val="0"/>
          <w:sz w:val="32"/>
          <w:szCs w:val="24"/>
          <w:highlight w:val="white"/>
          <w:lang w:val="en-US"/>
        </w:rPr>
        <w:t>(五)物资储备储存存在安全隐患。</w:t>
      </w:r>
      <w:r>
        <w:rPr>
          <w:rFonts w:hint="default" w:ascii="仿宋" w:hAnsi="仿宋" w:eastAsia="仿宋" w:cs="仿宋"/>
          <w:color w:val="000000"/>
          <w:kern w:val="0"/>
          <w:sz w:val="32"/>
          <w:szCs w:val="24"/>
          <w:highlight w:val="white"/>
          <w:lang w:val="en-US" w:eastAsia="zh-CN"/>
        </w:rPr>
        <w:t>绩效评价对卵石实地查看选取了华阁镇育新剅砂石库围（2058吨）和南洲镇四五河坝砂石库围（1050）吨两处地方，发现这两处卵石存放地均是露天堆放，且无围栏及门进行防护，虽然在存放地旁放置了“救灾物质严禁偷盗”但安全隐患还是存在。</w:t>
      </w:r>
    </w:p>
    <w:p>
      <w:pPr>
        <w:pStyle w:val="4"/>
        <w:ind w:firstLine="643" w:firstLineChars="200"/>
        <w:rPr>
          <w:rFonts w:hint="eastAsia" w:ascii="黑体" w:hAnsi="黑体" w:eastAsia="黑体" w:cs="黑体"/>
          <w:b/>
          <w:sz w:val="32"/>
          <w:szCs w:val="32"/>
        </w:rPr>
      </w:pPr>
      <w:r>
        <w:rPr>
          <w:rFonts w:hint="eastAsia" w:ascii="黑体" w:hAnsi="黑体" w:eastAsia="黑体" w:cs="黑体"/>
          <w:b/>
          <w:sz w:val="32"/>
          <w:szCs w:val="32"/>
        </w:rPr>
        <w:t>七、建议</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eastAsia" w:ascii="仿宋" w:hAnsi="仿宋" w:eastAsia="仿宋" w:cs="仿宋"/>
          <w:color w:val="000000"/>
          <w:kern w:val="0"/>
          <w:sz w:val="32"/>
          <w:szCs w:val="24"/>
          <w:highlight w:val="white"/>
          <w:lang w:val="en-US" w:eastAsia="zh-CN"/>
        </w:rPr>
        <w:t>一是</w:t>
      </w:r>
      <w:r>
        <w:rPr>
          <w:rFonts w:hint="default" w:ascii="仿宋" w:hAnsi="仿宋" w:eastAsia="仿宋" w:cs="仿宋"/>
          <w:color w:val="000000"/>
          <w:kern w:val="0"/>
          <w:sz w:val="32"/>
          <w:szCs w:val="24"/>
          <w:highlight w:val="white"/>
          <w:lang w:val="en-US" w:eastAsia="zh-CN"/>
        </w:rPr>
        <w:t>加强预算执行力，健全和完善相应的财务预算管理组织机构，负责财务预算管理组织实施，严格按照项目实施方案及相关文件规定执行项目建设，在规定时间内完成工作。</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eastAsia" w:ascii="仿宋" w:hAnsi="仿宋" w:eastAsia="仿宋" w:cs="仿宋"/>
          <w:color w:val="000000"/>
          <w:kern w:val="0"/>
          <w:sz w:val="32"/>
          <w:szCs w:val="24"/>
          <w:highlight w:val="white"/>
          <w:lang w:val="en-US" w:eastAsia="zh-CN"/>
        </w:rPr>
        <w:t>二是</w:t>
      </w:r>
      <w:r>
        <w:rPr>
          <w:rFonts w:hint="default" w:ascii="仿宋" w:hAnsi="仿宋" w:eastAsia="仿宋" w:cs="仿宋"/>
          <w:color w:val="000000"/>
          <w:kern w:val="0"/>
          <w:sz w:val="32"/>
          <w:szCs w:val="24"/>
          <w:highlight w:val="white"/>
          <w:lang w:val="en-US" w:eastAsia="zh-CN"/>
        </w:rPr>
        <w:t>加强会计核算工作，严格按准则及上级专项资金的要求进行账务处理，专项资金坚决实行“专人管理、专户储存、专账核算、专项使用”的原则。 对防汛、救灾物资储备储存地进行整修，杜绝安全隐患。</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default" w:ascii="仿宋" w:hAnsi="仿宋" w:eastAsia="仿宋" w:cs="仿宋"/>
          <w:color w:val="000000"/>
          <w:kern w:val="0"/>
          <w:sz w:val="32"/>
          <w:szCs w:val="24"/>
          <w:highlight w:val="white"/>
          <w:lang w:val="en-US" w:eastAsia="zh-CN"/>
        </w:rPr>
        <w:t xml:space="preserve"> </w:t>
      </w:r>
      <w:r>
        <w:rPr>
          <w:rFonts w:hint="eastAsia" w:ascii="仿宋" w:hAnsi="仿宋" w:eastAsia="仿宋" w:cs="仿宋"/>
          <w:color w:val="000000"/>
          <w:kern w:val="0"/>
          <w:sz w:val="32"/>
          <w:szCs w:val="24"/>
          <w:highlight w:val="white"/>
          <w:lang w:val="en-US" w:eastAsia="zh-CN"/>
        </w:rPr>
        <w:t>三是</w:t>
      </w:r>
      <w:r>
        <w:rPr>
          <w:rFonts w:hint="default" w:ascii="仿宋" w:hAnsi="仿宋" w:eastAsia="仿宋" w:cs="仿宋"/>
          <w:color w:val="000000"/>
          <w:kern w:val="0"/>
          <w:sz w:val="32"/>
          <w:szCs w:val="24"/>
          <w:highlight w:val="white"/>
          <w:lang w:val="en-US" w:eastAsia="zh-CN"/>
        </w:rPr>
        <w:t>加强项目资金管理。各项目实施单位应严格执行国家有关财务制度规定，确保项目建设资金专款专用，明确专项资金专账核算制度。要进一步加强资金管理，保证资金支出合法合规性。完善项目管理制度和专项资金管理办法，使各项目在立项、申报、批复及执行过程中均有据可查，有章可依；在专项资金使用上应对资金的申请、拨付，使用的范围、标准以及监督检查等有明确的规定，使制度和办法贯穿于整个项目的始终。</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eastAsia" w:ascii="仿宋" w:hAnsi="仿宋" w:eastAsia="仿宋" w:cs="仿宋"/>
          <w:color w:val="000000"/>
          <w:kern w:val="0"/>
          <w:sz w:val="32"/>
          <w:szCs w:val="24"/>
          <w:highlight w:val="white"/>
          <w:lang w:val="en-US" w:eastAsia="zh-CN"/>
        </w:rPr>
        <w:t>四是</w:t>
      </w:r>
      <w:r>
        <w:rPr>
          <w:rFonts w:hint="default" w:ascii="仿宋" w:hAnsi="仿宋" w:eastAsia="仿宋" w:cs="仿宋"/>
          <w:color w:val="000000"/>
          <w:kern w:val="0"/>
          <w:sz w:val="32"/>
          <w:szCs w:val="24"/>
          <w:highlight w:val="white"/>
          <w:lang w:val="en-US" w:eastAsia="zh-CN"/>
        </w:rPr>
        <w:t>重视监督检查工作，及时发现问题并控制解决问题，保证财政预算的执行质量。监督能杜绝暗箱操作或腐败行为，保证财政预算的编制效果，因而必须要采取切实措施加强对预算执行情况的监督检查，以规范各有关预算执行部门的行为。</w:t>
      </w:r>
    </w:p>
    <w:p>
      <w:pPr>
        <w:spacing w:line="540" w:lineRule="exact"/>
        <w:ind w:firstLine="800" w:firstLineChars="250"/>
        <w:rPr>
          <w:rFonts w:hint="default" w:ascii="仿宋" w:hAnsi="仿宋" w:eastAsia="仿宋" w:cs="仿宋"/>
          <w:color w:val="000000"/>
          <w:kern w:val="0"/>
          <w:sz w:val="32"/>
          <w:szCs w:val="24"/>
          <w:highlight w:val="white"/>
          <w:lang w:val="en-US" w:eastAsia="zh-CN"/>
        </w:rPr>
      </w:pPr>
      <w:r>
        <w:rPr>
          <w:rFonts w:hint="eastAsia" w:ascii="仿宋" w:hAnsi="仿宋" w:eastAsia="仿宋" w:cs="仿宋"/>
          <w:color w:val="000000"/>
          <w:kern w:val="0"/>
          <w:sz w:val="32"/>
          <w:szCs w:val="24"/>
          <w:highlight w:val="white"/>
          <w:lang w:val="en-US" w:eastAsia="zh-CN"/>
        </w:rPr>
        <w:t>五是</w:t>
      </w:r>
      <w:r>
        <w:rPr>
          <w:rFonts w:hint="default" w:ascii="仿宋" w:hAnsi="仿宋" w:eastAsia="仿宋" w:cs="仿宋"/>
          <w:color w:val="000000"/>
          <w:kern w:val="0"/>
          <w:sz w:val="32"/>
          <w:szCs w:val="24"/>
          <w:highlight w:val="white"/>
          <w:lang w:val="en-US" w:eastAsia="zh-CN"/>
        </w:rPr>
        <w:t>对防汛、救灾物资的储备储存地加强防护、杜绝安全隐患。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B6F8A"/>
    <w:rsid w:val="3A6B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0"/>
    <w:pPr>
      <w:jc w:val="both"/>
    </w:pPr>
    <w:rPr>
      <w:rFonts w:hint="default" w:ascii="Times New Roman" w:hAnsi="Times New Roman" w:eastAsia="宋体" w:cs="Times New Roman"/>
      <w:kern w:val="2"/>
      <w:sz w:val="21"/>
      <w:szCs w:val="24"/>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No Spacing"/>
    <w:unhideWhenUsed/>
    <w:qFormat/>
    <w:uiPriority w:val="1"/>
    <w:pPr>
      <w:widowControl w:val="0"/>
      <w:spacing w:line="540" w:lineRule="exact"/>
      <w:jc w:val="both"/>
    </w:pPr>
    <w:rPr>
      <w:rFonts w:hint="default"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2022-04-15T08:14:00Z</dcterms:created>
  <dc:creator>回忆、</dc:creator>
  <cp:lastModifiedBy>回忆、</cp:lastModifiedBy>
  <dcterms:modified xsi:type="dcterms:W3CDTF">2022-04-15T08:18:17Z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9B19D619737B4D2D8D882B5A6A90515C</vt:lpwstr>
  </property>
</Properties>
</file>