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南县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应急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管理局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2020年度项目支出绩效评价报告</w:t>
      </w:r>
    </w:p>
    <w:p>
      <w:pPr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根据《南县财政局关于做好2020年度预算绩效自评工作的通知》（南财绩函[2021]3号）精神，为进一步规范财政资金管理，牢固树立预算绩效理念，切实提高财政资金使用效率，南县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应急管理局</w:t>
      </w:r>
      <w:r>
        <w:rPr>
          <w:rFonts w:hint="eastAsia" w:ascii="仿宋_GB2312" w:hAnsi="仿宋_GB2312" w:eastAsia="仿宋_GB2312" w:cs="仿宋_GB2312"/>
          <w:sz w:val="28"/>
          <w:szCs w:val="28"/>
        </w:rPr>
        <w:t>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委</w:t>
      </w:r>
      <w:r>
        <w:rPr>
          <w:rFonts w:hint="eastAsia" w:ascii="仿宋_GB2312" w:hAnsi="仿宋_GB2312" w:eastAsia="仿宋_GB2312" w:cs="仿宋_GB2312"/>
          <w:sz w:val="28"/>
          <w:szCs w:val="28"/>
        </w:rPr>
        <w:t>对项目支出绩效评价工作进行了认真的研究和部署，并以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政工室</w:t>
      </w:r>
      <w:r>
        <w:rPr>
          <w:rFonts w:hint="eastAsia" w:ascii="仿宋_GB2312" w:hAnsi="仿宋_GB2312" w:eastAsia="仿宋_GB2312" w:cs="仿宋_GB2312"/>
          <w:sz w:val="28"/>
          <w:szCs w:val="28"/>
        </w:rPr>
        <w:t>牵头组织进行预算资金绩效自评，现将有关情况报告如下:</w:t>
      </w:r>
      <w:bookmarkStart w:id="1" w:name="_GoBack"/>
      <w:bookmarkEnd w:id="1"/>
    </w:p>
    <w:p>
      <w:pPr>
        <w:ind w:firstLine="562" w:firstLineChars="200"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一、项目基本情况</w:t>
      </w:r>
    </w:p>
    <w:p>
      <w:pPr>
        <w:ind w:firstLine="562" w:firstLineChars="200"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（一）项目基本情况简介</w:t>
      </w:r>
    </w:p>
    <w:p>
      <w:pPr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南县应急管理局2020年参与绩效评价的项目共6个，项目支出91万元。其中：</w:t>
      </w:r>
    </w:p>
    <w:p>
      <w:pPr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防汛抗旱专项经费40万元。要用于防汛抗旱期间上级领导视察、督查接待，防汛期间工作人员值班值守、工作用餐和防汛抗旱易耗物质的购置等。</w:t>
      </w:r>
    </w:p>
    <w:p>
      <w:pPr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安全生产隐患治理专项经费8万元。原安全生产监督管理局专项，主要用于全县安全生产隐患排查治理和隐患核查等。</w:t>
      </w:r>
    </w:p>
    <w:p>
      <w:pPr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防灾减灾专项经费10万元。主要用于在全县范围内开展防灾减灾知识宣传、灾情的勘察与救灾物资的准备。</w:t>
      </w:r>
    </w:p>
    <w:p>
      <w:pPr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森林防火指挥部办公室工作经费5万元。主要用于森林防火指挥部办公室的日常工作和上级领导视察、督查的接待工作。</w:t>
      </w:r>
    </w:p>
    <w:p>
      <w:pPr>
        <w:ind w:firstLine="560" w:firstLineChars="200"/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立项争资工作经费8万元。主要用于单位立项争资发生的各项费用。</w:t>
      </w:r>
    </w:p>
    <w:p>
      <w:pPr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自然灾害救助工作经费20万元。主要用于自然灾害的勘察、信息收集、救灾物资的准备及上级领导视察、督查得接待工作。</w:t>
      </w:r>
    </w:p>
    <w:p>
      <w:pPr>
        <w:numPr>
          <w:ilvl w:val="0"/>
          <w:numId w:val="0"/>
        </w:numPr>
        <w:ind w:firstLine="562" w:firstLineChars="200"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（二）绩效目标设定及指标完成情况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2020年度我局坚决履行职能职责，有效完成了本年度绩效目标。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提高经济效益，节约成本，创造社会效益，全面推动全县安全生产形势持续稳定向好。</w:t>
      </w:r>
    </w:p>
    <w:p>
      <w:pPr>
        <w:numPr>
          <w:ilvl w:val="0"/>
          <w:numId w:val="0"/>
        </w:numPr>
        <w:ind w:firstLine="562" w:firstLineChars="200"/>
        <w:jc w:val="both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二、绩效评价工作情况</w:t>
      </w:r>
    </w:p>
    <w:p>
      <w:pPr>
        <w:numPr>
          <w:ilvl w:val="0"/>
          <w:numId w:val="0"/>
        </w:numPr>
        <w:ind w:firstLine="562" w:firstLineChars="200"/>
        <w:jc w:val="both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（一）绩效评价目的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通过绩效评价全面分析该项目资金使用、管理和项目实施情况，进一步规范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应急管理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专项经费使用、管理制度，强化财政资金支出绩效理念，切实提高财政资金使用效益。</w:t>
      </w:r>
    </w:p>
    <w:p>
      <w:pPr>
        <w:numPr>
          <w:ilvl w:val="0"/>
          <w:numId w:val="0"/>
        </w:numPr>
        <w:ind w:firstLine="562" w:firstLineChars="200"/>
        <w:jc w:val="both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（二）项目资金安排落实、总投入等情况分析，项目资金实际使用等情况分析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2020年县本级预算安排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应急管理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专项资金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91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万元，由县本级财政全额拨款。该项目实际使用资金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91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万元，资金使用率为100%。资金由财政局一次下达项目预算指标通知，我局再根据项目实施进度向县财政申请拨付。2020年项目资金已全部下拨并使用，下拨率和使用率100%。</w:t>
      </w:r>
    </w:p>
    <w:p>
      <w:pPr>
        <w:numPr>
          <w:ilvl w:val="0"/>
          <w:numId w:val="0"/>
        </w:numPr>
        <w:ind w:firstLine="281" w:firstLineChars="100"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（三）项目组织情况分析</w:t>
      </w:r>
    </w:p>
    <w:p>
      <w:pPr>
        <w:numPr>
          <w:ilvl w:val="0"/>
          <w:numId w:val="0"/>
        </w:numPr>
        <w:ind w:leftChars="0"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成立了绩效评价小组，对有关文件进行了科学分析研究，制定了绩效评价工作方案。评价小组采用查阅凭证和资料、审计等形式进行考评。根据考评情况，对收集的资料进行整理、汇总分析，并依据前期制定的绩效评价指标体系进行了评分，形成综合报告。</w:t>
      </w:r>
    </w:p>
    <w:p>
      <w:pPr>
        <w:numPr>
          <w:ilvl w:val="0"/>
          <w:numId w:val="0"/>
        </w:numPr>
        <w:ind w:leftChars="0" w:firstLine="562" w:firstLineChars="200"/>
        <w:jc w:val="both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（四）</w:t>
      </w: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项目管理情况分析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为进一步规范财政资金管理，强化财政资金支出绩效理念，切实提高财政资金使用效益，要求专项资金实行“专人管理、专户储存、专账核算、专项使用”的原则，由单位财务统一核算，专人负责资金及管理经费的支出审核与监管，提高财政资金使用效益。</w:t>
      </w:r>
    </w:p>
    <w:p>
      <w:pPr>
        <w:numPr>
          <w:ilvl w:val="0"/>
          <w:numId w:val="0"/>
        </w:numPr>
        <w:ind w:firstLine="562" w:firstLineChars="200"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三、项目绩效情况</w:t>
      </w:r>
    </w:p>
    <w:p>
      <w:pPr>
        <w:pStyle w:val="2"/>
        <w:numPr>
          <w:ilvl w:val="0"/>
          <w:numId w:val="0"/>
        </w:numPr>
        <w:ind w:firstLine="562" w:firstLineChars="200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hAnsi="仿宋_GB2312" w:cs="仿宋_GB2312"/>
          <w:b/>
          <w:bCs/>
          <w:kern w:val="2"/>
          <w:sz w:val="28"/>
          <w:szCs w:val="28"/>
          <w:lang w:val="en-US" w:eastAsia="zh-CN" w:bidi="ar-SA"/>
        </w:rPr>
        <w:t>（一）</w:t>
      </w: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  <w:t>项目绩效评价工作开展情况。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我局项目绩效评价选用的指标主要包括预算执行情况、财务管理状况以及社会效益等。采取单位绩效评价自评方式、运用成本效益法进行项目绩效评价。项目按照绩效目标的实施内容及工作要求实施完毕，执行情况较好，达到了预期绩效目标。根据项目自检自评，结合2020年项目支出绩效自评指标计分表打分，总得分为</w:t>
      </w:r>
      <w:r>
        <w:rPr>
          <w:rFonts w:hint="eastAsia" w:hAnsi="仿宋_GB2312" w:cs="仿宋_GB2312"/>
          <w:kern w:val="2"/>
          <w:sz w:val="28"/>
          <w:szCs w:val="28"/>
          <w:lang w:val="en-US" w:eastAsia="zh-CN" w:bidi="ar-SA"/>
        </w:rPr>
        <w:t>85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分，绩效评价为“</w:t>
      </w:r>
      <w:r>
        <w:rPr>
          <w:rFonts w:hint="eastAsia" w:hAnsi="仿宋_GB2312" w:cs="仿宋_GB2312"/>
          <w:kern w:val="2"/>
          <w:sz w:val="28"/>
          <w:szCs w:val="28"/>
          <w:lang w:val="en-US" w:eastAsia="zh-CN" w:bidi="ar-SA"/>
        </w:rPr>
        <w:t>良好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”。</w:t>
      </w:r>
    </w:p>
    <w:p>
      <w:pPr>
        <w:numPr>
          <w:ilvl w:val="0"/>
          <w:numId w:val="0"/>
        </w:numPr>
        <w:ind w:left="640" w:leftChars="0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（二）项目绩效目标完成情况。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（1）重点领域安全生产监管工作扎实推进。</w:t>
      </w:r>
      <w:r>
        <w:rPr>
          <w:rFonts w:hint="eastAsia" w:ascii="仿宋_GB2312" w:hAnsi="仿宋_GB2312" w:eastAsia="仿宋_GB2312" w:cs="仿宋_GB2312"/>
          <w:sz w:val="28"/>
          <w:szCs w:val="28"/>
        </w:rPr>
        <w:t>2020年共检查危化企业92余次，下达现场检查记录87余份，整改指令42份，现场措施决定书4份，处罚10.2万元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取缔非法经营甲醇储存点1处。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通过</w:t>
      </w:r>
      <w:r>
        <w:rPr>
          <w:rFonts w:hint="eastAsia" w:ascii="仿宋_GB2312" w:hAnsi="仿宋_GB2312" w:eastAsia="仿宋_GB2312" w:cs="仿宋_GB2312"/>
          <w:sz w:val="28"/>
          <w:szCs w:val="28"/>
        </w:rPr>
        <w:t>联合执法，打击取缔非法储存经营烟花爆竹1处，没收成品30箱，全年共立案查处2起，处罚款1.2万元。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sz w:val="28"/>
          <w:szCs w:val="28"/>
        </w:rPr>
        <w:t>全县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106</w:t>
      </w:r>
      <w:r>
        <w:rPr>
          <w:rFonts w:hint="eastAsia" w:ascii="仿宋_GB2312" w:hAnsi="仿宋_GB2312" w:eastAsia="仿宋_GB2312" w:cs="仿宋_GB2312"/>
          <w:sz w:val="28"/>
          <w:szCs w:val="28"/>
        </w:rPr>
        <w:t>家工贸企业，监管生产经营单位次数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503次</w:t>
      </w:r>
      <w:r>
        <w:rPr>
          <w:rFonts w:hint="eastAsia" w:ascii="仿宋_GB2312" w:hAnsi="仿宋_GB2312" w:eastAsia="仿宋_GB2312" w:cs="仿宋_GB2312"/>
          <w:sz w:val="28"/>
          <w:szCs w:val="28"/>
        </w:rPr>
        <w:t>，行政处罚次数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29次</w:t>
      </w:r>
      <w:r>
        <w:rPr>
          <w:rFonts w:hint="eastAsia" w:ascii="仿宋_GB2312" w:hAnsi="仿宋_GB2312" w:eastAsia="仿宋_GB2312" w:cs="仿宋_GB2312"/>
          <w:sz w:val="28"/>
          <w:szCs w:val="28"/>
        </w:rPr>
        <w:t>，处罚罚款24.95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万元，使用执法文书527份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（2）防汛抗灾工作全面胜利。</w:t>
      </w:r>
      <w:r>
        <w:rPr>
          <w:rFonts w:hint="eastAsia" w:ascii="仿宋_GB2312" w:hAnsi="仿宋_GB2312" w:eastAsia="仿宋_GB2312" w:cs="仿宋_GB2312"/>
          <w:sz w:val="28"/>
          <w:szCs w:val="28"/>
        </w:rPr>
        <w:t>今年6至7月，我县降水异常偏多，总量724.5毫米，为1970年以来50年的历史极值；长江三峡水库出现75000立方米/秒左右的入库洪峰，为三峡水库2003年建库以来最大入库流量。受长江流域、省内强降雨共同影响，我县6条河流全面超警，防汛实战经历了“三进三出”61天，9个乡镇109.989千米一线堤防超保证水位。全县共处置各类险情37处，特别是成功处置南鼎垸东洲堤段重大沙眼流土险情</w:t>
      </w:r>
      <w:bookmarkStart w:id="0" w:name="OLE_LINK6"/>
      <w:r>
        <w:rPr>
          <w:rFonts w:hint="eastAsia" w:ascii="仿宋_GB2312" w:hAnsi="仿宋_GB2312" w:eastAsia="仿宋_GB2312" w:cs="仿宋_GB2312"/>
          <w:sz w:val="28"/>
          <w:szCs w:val="28"/>
        </w:rPr>
        <w:t>。全县受灾人口22683人，农作物受灾面积10705公顷，其中成灾面积5576公顷，造成直接经济损失16921.47万</w:t>
      </w:r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元。紧急安置人口1503人，紧急救助人口1234人，发放帐篷30顶，折叠床40张，毛巾被190条，棉被30床，军用被30床，下拨救灾资金250万元。取得防汛抗灾全面胜利，延续了我县连线58年不溃一堤一垸的辉煌。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安全生产宣传教育活动积极开展。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结合5.12防灾减灾和“六月安全生产月”、“10月13日国际防灾日”、“119消防安全宣传月”等活动契机，开展业务咨询、上门宣传等；在南洲镇商业中心区——桂花广场，开展宣传活动，向群众发放《5.12防灾减灾手册》等宣传资料30000余份，接受群众咨询安全生产知识和法律法规8000余人次。在县广播电视台开设综合防灾减灾专栏专题，</w:t>
      </w:r>
      <w:r>
        <w:rPr>
          <w:rFonts w:hint="eastAsia" w:ascii="仿宋_GB2312" w:hAnsi="仿宋_GB2312" w:eastAsia="仿宋_GB2312" w:cs="仿宋_GB2312"/>
          <w:sz w:val="28"/>
          <w:szCs w:val="28"/>
          <w:lang w:val="zh-CN" w:eastAsia="zh-CN"/>
        </w:rPr>
        <w:t>开展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综合防灾减灾</w:t>
      </w:r>
      <w:r>
        <w:rPr>
          <w:rFonts w:hint="eastAsia" w:ascii="仿宋_GB2312" w:hAnsi="仿宋_GB2312" w:eastAsia="仿宋_GB2312" w:cs="仿宋_GB2312"/>
          <w:sz w:val="28"/>
          <w:szCs w:val="28"/>
          <w:lang w:val="zh-CN" w:eastAsia="zh-CN"/>
        </w:rPr>
        <w:t>公益宣传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利用灯箱广告、大型广告位、户外LED显示屏、广播、电视等形式进行宣传；在出租车、车站、等公共场所的电子显示屏，持续滚动播放综合防灾减灾科普短视频、安全提示、公益广告。在公园、企业、学校、社区、工地等场所现场设置综合防灾减灾展台、知识竞赛、发放宣传品、举办展览展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2" w:firstLineChars="200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（4）防灾减灾工作稳步进行。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在元宵节、清明节、中元节等特殊时期开展了森林防火宣传活动，利用巡查野外火源行动进行宣教。我局将上级下拨的650万元的中央自然灾害生活补助资金，根据各乡镇受灾情况，积极研究救灾资金的分配方案，按要求将救灾补助款发放到受灾群众手中，共计5800户。</w:t>
      </w:r>
    </w:p>
    <w:p>
      <w:pPr>
        <w:pStyle w:val="2"/>
        <w:ind w:firstLine="562" w:firstLineChars="200"/>
        <w:rPr>
          <w:rFonts w:hint="default" w:eastAsia="仿宋_GB2312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（5）立项争资任务圆满完成。</w:t>
      </w:r>
      <w:r>
        <w:rPr>
          <w:rFonts w:hint="eastAsia"/>
          <w:sz w:val="28"/>
          <w:szCs w:val="28"/>
          <w:lang w:val="en-US" w:eastAsia="zh-CN"/>
        </w:rPr>
        <w:t>今年，我局强抓立项争资，共向上级争取资金 1720.62万元。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四、存在的问题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（一）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资金使用欠规范。我局2020年在项目决策上合理，实施过程中领导重视，管理较规范，较好的达到了预期的绩效目标，但有些方面仍有不足，主要是对财政拨入的资金没有实施专户管理、没有单独入账，而是统收统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pStyle w:val="2"/>
        <w:ind w:firstLine="560" w:firstLineChars="200"/>
        <w:rPr>
          <w:rFonts w:hint="eastAsia" w:hAnsi="仿宋_GB2312" w:cs="仿宋_GB2312"/>
          <w:sz w:val="28"/>
          <w:szCs w:val="28"/>
          <w:lang w:val="en-US" w:eastAsia="zh-CN"/>
        </w:rPr>
      </w:pPr>
      <w:r>
        <w:rPr>
          <w:rFonts w:hint="eastAsia" w:hAnsi="仿宋_GB2312" w:cs="仿宋_GB2312"/>
          <w:sz w:val="28"/>
          <w:szCs w:val="28"/>
          <w:lang w:val="en-US" w:eastAsia="zh-CN"/>
        </w:rPr>
        <w:t>（二）项目支出绩效自评工作不够全面，绩效自评报告质量质量不高。</w:t>
      </w:r>
    </w:p>
    <w:p>
      <w:pPr>
        <w:pStyle w:val="2"/>
        <w:ind w:firstLine="562" w:firstLineChars="200"/>
        <w:rPr>
          <w:rFonts w:hint="eastAsia" w:hAnsi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hAnsi="仿宋_GB2312" w:cs="仿宋_GB2312"/>
          <w:b/>
          <w:bCs/>
          <w:sz w:val="28"/>
          <w:szCs w:val="28"/>
          <w:lang w:val="en-US" w:eastAsia="zh-CN"/>
        </w:rPr>
        <w:t>五、相关建议</w:t>
      </w:r>
    </w:p>
    <w:p>
      <w:pPr>
        <w:pStyle w:val="2"/>
        <w:ind w:firstLine="560" w:firstLineChars="200"/>
        <w:rPr>
          <w:rFonts w:hint="eastAsia" w:hAnsi="仿宋_GB2312" w:cs="仿宋_GB2312"/>
          <w:sz w:val="28"/>
          <w:szCs w:val="28"/>
          <w:lang w:val="en-US" w:eastAsia="zh-CN"/>
        </w:rPr>
      </w:pPr>
      <w:r>
        <w:rPr>
          <w:rFonts w:hint="eastAsia" w:hAnsi="仿宋_GB2312" w:cs="仿宋_GB2312"/>
          <w:sz w:val="28"/>
          <w:szCs w:val="28"/>
          <w:lang w:val="en-US" w:eastAsia="zh-CN"/>
        </w:rPr>
        <w:t>建议财政部门多组织项目资金绩效评价的专业知识讲座和培训，让大家深入学习与绩效评价相关知识。</w:t>
      </w: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 w:eastAsia="仿宋_GB2312"/>
          <w:lang w:val="en-US" w:eastAsia="zh-CN"/>
        </w:rPr>
      </w:pPr>
    </w:p>
    <w:p>
      <w:pPr>
        <w:pStyle w:val="2"/>
        <w:rPr>
          <w:rFonts w:hint="default" w:eastAsia="仿宋_GB2312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1</w:t>
      </w:r>
    </w:p>
    <w:p>
      <w:pPr>
        <w:spacing w:line="600" w:lineRule="exact"/>
        <w:ind w:firstLine="880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>2020年项目支出绩效自评指标计分表</w:t>
      </w:r>
    </w:p>
    <w:p>
      <w:pPr>
        <w:spacing w:line="400" w:lineRule="exact"/>
        <w:ind w:firstLine="880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1"/>
        <w:gridCol w:w="848"/>
        <w:gridCol w:w="773"/>
        <w:gridCol w:w="712"/>
        <w:gridCol w:w="3136"/>
        <w:gridCol w:w="3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一级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二级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三级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自评分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具体指标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内容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设立了项目绩效目标；目标明确；目标细化；目标量化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设有目标（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目标明确（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目标细化（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目标量化（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过程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依据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符合法律法规（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分）符合经济社会发展规划（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部门年度工作计划（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针对某一实际问题和需求（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程序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both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符合申报条件（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分）项目申报、批复程序符合管理办法（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项目调整履行了相应手续（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办法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both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有相应的资金管理办法（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办法健全、规范（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因素全面合理（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资金分配符合相关管理办法；分配结果公平合理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符合分配办法（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分配公平合理（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实际到位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计划到位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*100%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根据项目资金的实际到位率计算得分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资金及时到位；若未及时到位，是否影响项目进度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到位及时（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不及时但未影响项目进度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不及时并影响项目进度（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0.5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使用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虚列套取扣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4-7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 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依据不合规扣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截留、挤占、挪用扣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3-6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超标准开支扣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超预算扣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财务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资金管理、费用支出等制度健全；制度执行严格；会计核算规范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财务制度健全（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分）严格执行制度（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分）会计核算规范（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机构健全、分工明确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242" w:leftChars="20" w:hanging="200" w:hangingChars="1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机构健全、分工明确 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项目按计划开工；按计划进度开展；按计划完工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按计划开工（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  按计划开展（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   按计划完工（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制度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项目管理制度健全；严格执行相关管理制度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管理制度健全（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制度执行严格（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绩效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数量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根据该项目实际，标识具体明确的产出数量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对照绩效目标，按实际产出数量率计算得分（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质量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根据该项目实际，标识具体明确的产出质量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对照绩效目标，按实际产出质量率计算得分（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根据该项目实际，标识具体明确的产出时效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对照绩效目标，按实际产出时效率计算得分（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成本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根据该项目实际，标识具体明确的产出成本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对照绩效目标，按实际产出成本率计算得分（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效果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经济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根据项目实际，标识所产生的直接或间接的经济效益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对照绩效目标，按经济效益实现程度计算得分（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社会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both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根据项目实际，标识所产生的社会效益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对照绩效目标，按社会效益实现程度计算得分（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环境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根据项目实际，标识对环境所产生的积极或消极影响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对照绩效目标，按对环境所产生的实际影响程度计算得分（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可持续影响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项目产出能持续运用；项目运行所依赖的政策制度能持续执行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项目产出能持续运用（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所依赖的政策制度能持续执行（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服务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对象满意度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项目预期服务对象对项目实施的满意程度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按收集到的项目服务对象的满意率计算得分（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总</w:t>
            </w:r>
            <w:r>
              <w:rPr>
                <w:rFonts w:ascii="Calibri" w:hAnsi="Calibri" w:eastAsia="黑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280" w:firstLineChars="100"/>
              <w:jc w:val="both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33748"/>
    <w:rsid w:val="0F9614B6"/>
    <w:rsid w:val="1F1B451E"/>
    <w:rsid w:val="2C5A5B92"/>
    <w:rsid w:val="2CC27E8B"/>
    <w:rsid w:val="33C94BA0"/>
    <w:rsid w:val="343770F3"/>
    <w:rsid w:val="3BE069D2"/>
    <w:rsid w:val="4A0127F5"/>
    <w:rsid w:val="4C133748"/>
    <w:rsid w:val="52364BC9"/>
    <w:rsid w:val="5AD25733"/>
    <w:rsid w:val="72240277"/>
    <w:rsid w:val="7EAF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rPr>
      <w:rFonts w:ascii="仿宋_GB2312" w:hAnsi="宋体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2021-03-23T07:17:00Z</dcterms:created>
  <dc:creator>Administrator</dc:creator>
  <cp:lastModifiedBy>Administrator</cp:lastModifiedBy>
  <cp:lastPrinted>2021-04-07T01:38:46Z</cp:lastPrinted>
  <dcterms:modified xsi:type="dcterms:W3CDTF">2021-04-07T02:24:51Z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29A7080850D04834BB0A4407C665EDF2</vt:lpwstr>
  </property>
</Properties>
</file>