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南县应急管理局</w:t>
      </w:r>
    </w:p>
    <w:p>
      <w:pPr>
        <w:jc w:val="center"/>
        <w:rPr>
          <w:rFonts w:hint="eastAsia"/>
          <w:b/>
          <w:bCs/>
          <w:sz w:val="36"/>
          <w:szCs w:val="36"/>
          <w:lang w:val="en-US" w:eastAsia="zh-CN"/>
        </w:rPr>
      </w:pPr>
      <w:r>
        <w:rPr>
          <w:rFonts w:hint="eastAsia"/>
          <w:b/>
          <w:bCs/>
          <w:sz w:val="36"/>
          <w:szCs w:val="36"/>
          <w:lang w:val="en-US" w:eastAsia="zh-CN"/>
        </w:rPr>
        <w:t>2020年度部门整体支出绩效评价报告</w:t>
      </w:r>
    </w:p>
    <w:p>
      <w:pPr>
        <w:keepNext w:val="0"/>
        <w:keepLines w:val="0"/>
        <w:pageBreakBefore w:val="0"/>
        <w:widowControl w:val="0"/>
        <w:kinsoku/>
        <w:wordWrap/>
        <w:overflowPunct w:val="0"/>
        <w:topLinePunct/>
        <w:autoSpaceDE/>
        <w:autoSpaceDN/>
        <w:bidi w:val="0"/>
        <w:adjustRightInd/>
        <w:snapToGrid/>
        <w:spacing w:line="58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南财绩函〔2021〕3号《关于做好2020年度预算绩效自评工作的通知》精神，结合具体情况，南县应急管理局党委对此进行了认真的研究和部署，并以政工室牵头组织开展预算资金绩效自评工作，现将2020年度部门整体支出绩效评价情况报告如下：</w:t>
      </w:r>
    </w:p>
    <w:p>
      <w:p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一、基本情况</w:t>
      </w:r>
    </w:p>
    <w:p>
      <w:pPr>
        <w:spacing w:line="540" w:lineRule="exact"/>
        <w:ind w:firstLine="281" w:firstLineChars="1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lang w:val="en-US" w:eastAsia="zh-CN"/>
        </w:rPr>
        <w:t>部门组织机构及人员情况</w:t>
      </w:r>
    </w:p>
    <w:p>
      <w:pPr>
        <w:keepNext w:val="0"/>
        <w:keepLines w:val="0"/>
        <w:pageBreakBefore w:val="0"/>
        <w:widowControl w:val="0"/>
        <w:kinsoku/>
        <w:wordWrap/>
        <w:overflowPunct w:val="0"/>
        <w:topLinePunct/>
        <w:autoSpaceDE/>
        <w:autoSpaceDN/>
        <w:bidi w:val="0"/>
        <w:adjustRightInd/>
        <w:snapToGrid/>
        <w:spacing w:line="580" w:lineRule="exact"/>
        <w:ind w:firstLine="560" w:firstLineChars="200"/>
        <w:jc w:val="both"/>
        <w:textAlignment w:val="baseline"/>
        <w:rPr>
          <w:rFonts w:hint="eastAsia" w:ascii="仿宋_GB2312" w:hAnsi="仿宋_GB2312" w:eastAsia="仿宋_GB2312" w:cs="仿宋_GB2312"/>
          <w:b w:val="0"/>
          <w:bCs w:val="0"/>
          <w:color w:val="000000"/>
          <w:kern w:val="21"/>
          <w:sz w:val="28"/>
          <w:szCs w:val="28"/>
          <w:lang w:val="en-US" w:eastAsia="zh-CN" w:bidi="ar"/>
        </w:rPr>
      </w:pPr>
      <w:r>
        <w:rPr>
          <w:rFonts w:hint="eastAsia" w:ascii="仿宋_GB2312" w:hAnsi="仿宋_GB2312" w:eastAsia="仿宋_GB2312" w:cs="仿宋_GB2312"/>
          <w:sz w:val="28"/>
          <w:szCs w:val="28"/>
          <w:lang w:val="en-US" w:eastAsia="zh-CN"/>
        </w:rPr>
        <w:t>南县应急管理局</w:t>
      </w:r>
      <w:r>
        <w:rPr>
          <w:rFonts w:hint="eastAsia" w:ascii="仿宋_GB2312" w:hAnsi="仿宋_GB2312" w:eastAsia="仿宋_GB2312" w:cs="仿宋_GB2312"/>
          <w:sz w:val="28"/>
          <w:szCs w:val="28"/>
        </w:rPr>
        <w:t>（加挂南县安全生产委员会办公室牌</w:t>
      </w:r>
      <w:r>
        <w:rPr>
          <w:rFonts w:hint="eastAsia" w:ascii="仿宋_GB2312" w:hAnsi="仿宋_GB2312" w:eastAsia="仿宋_GB2312" w:cs="仿宋_GB2312"/>
          <w:sz w:val="28"/>
          <w:szCs w:val="28"/>
          <w:lang w:val="en-US" w:eastAsia="zh-CN"/>
        </w:rPr>
        <w:t>和防汛抗旱指挥部牌</w:t>
      </w:r>
      <w:r>
        <w:rPr>
          <w:rFonts w:hint="eastAsia" w:ascii="仿宋_GB2312" w:hAnsi="仿宋_GB2312" w:eastAsia="仿宋_GB2312" w:cs="仿宋_GB2312"/>
          <w:sz w:val="28"/>
          <w:szCs w:val="28"/>
        </w:rPr>
        <w:t>），为县人民政府主管安全生产综合监督管理的工作部门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局机关现设有办公室、</w:t>
      </w:r>
      <w:r>
        <w:rPr>
          <w:rFonts w:hint="eastAsia" w:ascii="仿宋_GB2312" w:hAnsi="仿宋_GB2312" w:eastAsia="仿宋_GB2312" w:cs="仿宋_GB2312"/>
          <w:b w:val="0"/>
          <w:bCs w:val="0"/>
          <w:color w:val="000000"/>
          <w:kern w:val="21"/>
          <w:sz w:val="28"/>
          <w:szCs w:val="28"/>
          <w:lang w:val="en-US" w:eastAsia="zh-CN"/>
        </w:rPr>
        <w:t>危险化学品安全监督管理股、非煤矿山和工贸行业安全监督管理股、预案管理和物质保障股、综合防灾管理股、法规股（行政审批改革股）、防汛抗旱股、政工室（党建工作办公室），</w:t>
      </w:r>
      <w:r>
        <w:rPr>
          <w:rFonts w:hint="eastAsia" w:ascii="仿宋_GB2312" w:hAnsi="仿宋_GB2312" w:eastAsia="仿宋_GB2312" w:cs="仿宋_GB2312"/>
          <w:b w:val="0"/>
          <w:bCs w:val="0"/>
          <w:color w:val="000000"/>
          <w:kern w:val="21"/>
          <w:sz w:val="28"/>
          <w:szCs w:val="28"/>
        </w:rPr>
        <w:t>局属二级单位</w:t>
      </w:r>
      <w:r>
        <w:rPr>
          <w:rFonts w:hint="eastAsia" w:ascii="仿宋_GB2312" w:hAnsi="仿宋_GB2312" w:eastAsia="仿宋_GB2312" w:cs="仿宋_GB2312"/>
          <w:b w:val="0"/>
          <w:bCs w:val="0"/>
          <w:color w:val="000000"/>
          <w:kern w:val="21"/>
          <w:sz w:val="28"/>
          <w:szCs w:val="28"/>
          <w:lang w:val="en-US" w:eastAsia="zh-CN"/>
        </w:rPr>
        <w:t>2</w:t>
      </w:r>
      <w:r>
        <w:rPr>
          <w:rFonts w:hint="eastAsia" w:ascii="仿宋_GB2312" w:hAnsi="仿宋_GB2312" w:eastAsia="仿宋_GB2312" w:cs="仿宋_GB2312"/>
          <w:b w:val="0"/>
          <w:bCs w:val="0"/>
          <w:color w:val="000000"/>
          <w:kern w:val="21"/>
          <w:sz w:val="28"/>
          <w:szCs w:val="28"/>
        </w:rPr>
        <w:t>个，</w:t>
      </w:r>
      <w:r>
        <w:rPr>
          <w:rFonts w:hint="eastAsia" w:ascii="仿宋_GB2312" w:hAnsi="仿宋_GB2312" w:eastAsia="仿宋_GB2312" w:cs="仿宋_GB2312"/>
          <w:b w:val="0"/>
          <w:bCs w:val="0"/>
          <w:color w:val="000000"/>
          <w:kern w:val="21"/>
          <w:sz w:val="28"/>
          <w:szCs w:val="28"/>
          <w:lang w:val="en-US" w:eastAsia="zh-CN"/>
        </w:rPr>
        <w:t>均为股级公益一类事业单位：县安全生产执法大队和县应急救援指挥大队。</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局机关定行政编制</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名，全额拨款事业编制</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名，实有在岗人数</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,退休人员6名。</w:t>
      </w:r>
    </w:p>
    <w:p>
      <w:pPr>
        <w:spacing w:line="540" w:lineRule="exact"/>
        <w:ind w:firstLine="281" w:firstLine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（二）主要工作职责</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1、负责应急管理工作，组织协调全县应对安全生产类、自然灾害类等突发事件和综合防灾减灾救灾工作;负责安全生产综合协调管理和工矿商贸及危险化学品行业安全生产监督管理工作；</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2、贯彻实施相关法律法规、部门规章、规程和标准，组织编制全县应急体系建设、安全生产和综合防灾减灾规划，组织拟订相关规程和标准并监督实施；</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3、指导应急预案体系建设，建立完善事故灾难和自然灾害分级应对制度。</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4、推进全县统一的应急管理信息系统建设；</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5、组织指导协调安全生产类、自然灾害类等突发事件应急数援，承担应对较大灾害指挥的相关工作；</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6、统一协调指挥各类应急专业队伍，建立应急协调联动机制，推进指挥平台对接，负责做好解放军和武警部队参与应急救援相关衔接工作等。</w:t>
      </w:r>
    </w:p>
    <w:p>
      <w:pPr>
        <w:spacing w:line="54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（三）部门整体支出概况</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2020年总收入1208.44万元，其中财政拨款收入1207.85万元，其他收入0.46万元，上年结转收入0.13万元。</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总支出1205.01万元，其中基本支出248.19万元，项目支出956.82万元。项目支出中本级项目资金共91万元，其中防灾减灾专项经费10万元，森林防火指挥部办公室工作经费5万元，安全生产隐患治理专项经费8万元，自然灾害救助经费（工作经费）20万元，防汛抗旱专项经费40万元，立项争资工作经费8万元。</w:t>
      </w:r>
    </w:p>
    <w:p>
      <w:pPr>
        <w:spacing w:line="54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收支平衡结余情况：收入1208.44万元，支出1205.01万元，上年结转0.13万元，本年结余3.43万元。</w:t>
      </w:r>
    </w:p>
    <w:p>
      <w:pPr>
        <w:pStyle w:val="2"/>
        <w:rPr>
          <w:rFonts w:hint="default"/>
          <w:b/>
          <w:bCs/>
          <w:lang w:val="en-US" w:eastAsia="zh-CN"/>
        </w:rPr>
      </w:pPr>
      <w:r>
        <w:rPr>
          <w:rFonts w:hint="eastAsia" w:hAnsi="仿宋_GB2312" w:cs="仿宋_GB2312"/>
          <w:b/>
          <w:bCs/>
          <w:sz w:val="28"/>
          <w:szCs w:val="28"/>
          <w:lang w:val="en-US" w:eastAsia="zh-CN"/>
        </w:rPr>
        <w:t>（四）部门整体支出绩效目标情况</w:t>
      </w:r>
    </w:p>
    <w:p>
      <w:pPr>
        <w:numPr>
          <w:ilvl w:val="0"/>
          <w:numId w:val="0"/>
        </w:numPr>
        <w:spacing w:line="54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1、绩效完成情况</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（1）守好红线，牢牢把握安全生产基本盘。</w:t>
      </w:r>
      <w:r>
        <w:rPr>
          <w:rFonts w:hint="eastAsia" w:ascii="仿宋_GB2312" w:hAnsi="仿宋_GB2312" w:eastAsia="仿宋_GB2312" w:cs="仿宋_GB2312"/>
          <w:sz w:val="28"/>
          <w:szCs w:val="28"/>
          <w:lang w:val="en-US" w:eastAsia="zh-CN"/>
        </w:rPr>
        <w:t>全年对我县危险化学品企业开展隐患排查和技术服务，集中开展了“两会”、“两节”、“节后复工复产”“安全生产隐患大排查大整治”专项行动，全面推进“两个责任”的落实，对危险化学品企业进行了无一遗漏的大排查，2020年共检查危化企业92余次，下达现场检查记录87余份，整改指令42份，现场措施决定书4份，处罚10.2万元，取缔非法经营甲醇储存点1处。</w:t>
      </w:r>
      <w:r>
        <w:rPr>
          <w:rFonts w:hint="eastAsia" w:ascii="仿宋_GB2312" w:hAnsi="仿宋_GB2312" w:eastAsia="仿宋_GB2312" w:cs="仿宋_GB2312"/>
          <w:color w:val="000000"/>
          <w:sz w:val="28"/>
          <w:szCs w:val="28"/>
          <w:lang w:val="en-US" w:eastAsia="zh-CN"/>
        </w:rPr>
        <w:t>对全县冶金、有色、建材、机械、轻工、纺织、烟草、商贸企业开展了一次全面的调查摸底，全县共有106家工贸企业，监管生产经营单位次数503次，行政处罚次数29次，处罚罚款24.95万元，使用执法文书527份。开</w:t>
      </w:r>
      <w:r>
        <w:rPr>
          <w:rFonts w:hint="eastAsia" w:ascii="仿宋_GB2312" w:hAnsi="仿宋_GB2312" w:eastAsia="仿宋_GB2312" w:cs="仿宋_GB2312"/>
          <w:sz w:val="28"/>
          <w:szCs w:val="28"/>
          <w:lang w:val="en-US" w:eastAsia="zh-CN"/>
        </w:rPr>
        <w:t>展马路市场专项整治。共摸排出14处马路市场，其中占省道经营市场6处，占县道经营市场8处，现已全部取缔。完成新（扩）建9处农贸市场和乡村集市，合理引导流动摊担入市经营，确保已整治完成的14处马路市场不出现反弹，防止出现新的马路市场，进一步巩固了马路市场整治成果。部署开展安全生产专项整治三年行动，全县组织300余次专项检查，检查单位989家，排查隐患704处，督导问题240多个，行政处罚3282次，责令停产整顿38家，取缔关闭1家。</w:t>
      </w:r>
    </w:p>
    <w:p>
      <w:pPr>
        <w:numPr>
          <w:ilvl w:val="0"/>
          <w:numId w:val="0"/>
        </w:numPr>
        <w:spacing w:line="540" w:lineRule="exact"/>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（2）同心戮力，防汛抗灾全面胜利。</w:t>
      </w:r>
      <w:r>
        <w:rPr>
          <w:rFonts w:hint="eastAsia" w:ascii="仿宋_GB2312" w:hAnsi="仿宋_GB2312" w:eastAsia="仿宋_GB2312" w:cs="仿宋_GB2312"/>
          <w:sz w:val="28"/>
          <w:szCs w:val="28"/>
          <w:lang w:val="en-US" w:eastAsia="zh-CN"/>
        </w:rPr>
        <w:t>今年6至7月，我县降水异常偏多，总量724.5毫米，为1970年以来50年的历史极值；长江三峡水库出现75000立方米/秒左右的入库洪峰，为三峡水库2003年建库以来最大入库流量。受长江流域、省内强降雨共同影响，我县6条河流全面超警，防汛实战经历了“三进三出”61天，9个乡镇109.989千米一线堤防超保证水位。全县共处置各类险情37处，特别是成功处置南鼎垸东洲堤段重大沙眼流土险情</w:t>
      </w:r>
      <w:bookmarkStart w:id="0" w:name="OLE_LINK6"/>
      <w:r>
        <w:rPr>
          <w:rFonts w:hint="eastAsia" w:ascii="仿宋_GB2312" w:hAnsi="仿宋_GB2312" w:eastAsia="仿宋_GB2312" w:cs="仿宋_GB2312"/>
          <w:sz w:val="28"/>
          <w:szCs w:val="28"/>
          <w:lang w:val="en-US" w:eastAsia="zh-CN"/>
        </w:rPr>
        <w:t>。全县受灾人口22683人，农作物受灾面积10705公顷，其中成灾面积5576公顷，造成直接经济损失16921.47万</w:t>
      </w:r>
      <w:bookmarkEnd w:id="0"/>
      <w:r>
        <w:rPr>
          <w:rFonts w:hint="eastAsia" w:ascii="仿宋_GB2312" w:hAnsi="仿宋_GB2312" w:eastAsia="仿宋_GB2312" w:cs="仿宋_GB2312"/>
          <w:sz w:val="28"/>
          <w:szCs w:val="28"/>
          <w:lang w:val="en-US" w:eastAsia="zh-CN"/>
        </w:rPr>
        <w:t>元。紧急安置人口1503人，紧急救助人口1234人，发放帐篷30顶，折叠床40张，毛巾被190条，棉被30床，军用被30床，下拨救灾资金250万元。取得防汛抗灾全面胜利，延续了我县连线58年不溃一堤一垸的辉煌。</w:t>
      </w:r>
    </w:p>
    <w:p>
      <w:pPr>
        <w:pStyle w:val="2"/>
        <w:numPr>
          <w:ilvl w:val="0"/>
          <w:numId w:val="0"/>
        </w:numPr>
        <w:ind w:firstLine="562" w:firstLineChars="200"/>
        <w:rPr>
          <w:rFonts w:hint="eastAsia" w:ascii="仿宋_GB2312" w:hAnsi="仿宋_GB2312" w:eastAsia="仿宋_GB2312" w:cs="仿宋_GB2312"/>
          <w:sz w:val="28"/>
          <w:szCs w:val="28"/>
          <w:lang w:val="en-US" w:eastAsia="zh-CN"/>
        </w:rPr>
      </w:pPr>
      <w:r>
        <w:rPr>
          <w:rFonts w:hint="eastAsia" w:hAnsi="仿宋_GB2312" w:cs="仿宋_GB2312"/>
          <w:b/>
          <w:bCs/>
          <w:sz w:val="28"/>
          <w:szCs w:val="28"/>
          <w:lang w:val="en-US" w:eastAsia="zh-CN"/>
        </w:rPr>
        <w:t>（3）</w:t>
      </w:r>
      <w:r>
        <w:rPr>
          <w:rFonts w:hint="eastAsia" w:ascii="仿宋_GB2312" w:hAnsi="仿宋_GB2312" w:eastAsia="仿宋_GB2312" w:cs="仿宋_GB2312"/>
          <w:b/>
          <w:bCs/>
          <w:sz w:val="28"/>
          <w:szCs w:val="28"/>
          <w:lang w:val="en-US" w:eastAsia="zh-CN"/>
        </w:rPr>
        <w:t>强化宣教，全社会提高安全防范意识。</w:t>
      </w:r>
      <w:r>
        <w:rPr>
          <w:rFonts w:hint="eastAsia" w:ascii="仿宋_GB2312" w:hAnsi="仿宋_GB2312" w:eastAsia="仿宋_GB2312" w:cs="仿宋_GB2312"/>
          <w:sz w:val="28"/>
          <w:szCs w:val="28"/>
          <w:lang w:val="en-US" w:eastAsia="zh-CN"/>
        </w:rPr>
        <w:t>结合5.12防灾减灾和“六月安全生产月”、“10月13日国际防灾日”、“119消防安全宣传月”等活动契机，开展业务咨询、上门宣传等；在南洲镇商业中心区——桂花广场，开展宣传活动，向群众发放《5.12防灾减灾手册》等宣传资料30000余份，接受群众咨询安全生产知识和法律法规8000余人次。</w:t>
      </w:r>
    </w:p>
    <w:p>
      <w:pPr>
        <w:pStyle w:val="2"/>
        <w:numPr>
          <w:ilvl w:val="0"/>
          <w:numId w:val="0"/>
        </w:numPr>
        <w:ind w:leftChars="0" w:firstLine="562" w:firstLineChars="200"/>
        <w:rPr>
          <w:rFonts w:hint="eastAsia" w:ascii="仿宋_GB2312" w:hAnsi="仿宋_GB2312" w:eastAsia="仿宋_GB2312" w:cs="仿宋_GB2312"/>
          <w:sz w:val="28"/>
          <w:szCs w:val="28"/>
          <w:lang w:val="en-US" w:eastAsia="zh-CN"/>
        </w:rPr>
      </w:pPr>
      <w:r>
        <w:rPr>
          <w:rFonts w:hint="eastAsia" w:hAnsi="仿宋_GB2312" w:cs="仿宋_GB2312"/>
          <w:b/>
          <w:bCs/>
          <w:sz w:val="28"/>
          <w:szCs w:val="28"/>
          <w:lang w:val="en-US" w:eastAsia="zh-CN"/>
        </w:rPr>
        <w:t>（4）</w:t>
      </w:r>
      <w:r>
        <w:rPr>
          <w:rFonts w:hint="eastAsia" w:ascii="仿宋_GB2312" w:hAnsi="仿宋_GB2312" w:eastAsia="仿宋_GB2312" w:cs="仿宋_GB2312"/>
          <w:b/>
          <w:bCs/>
          <w:sz w:val="28"/>
          <w:szCs w:val="28"/>
          <w:lang w:val="en-US" w:eastAsia="zh-CN"/>
        </w:rPr>
        <w:t>加强演练、提升素质，切实提高了应急保障能力。</w:t>
      </w:r>
      <w:r>
        <w:rPr>
          <w:rFonts w:hint="eastAsia" w:ascii="仿宋_GB2312" w:hAnsi="仿宋_GB2312" w:eastAsia="仿宋_GB2312" w:cs="仿宋_GB2312"/>
          <w:sz w:val="28"/>
          <w:szCs w:val="28"/>
          <w:lang w:val="en-US" w:eastAsia="zh-CN"/>
        </w:rPr>
        <w:t>承办了“2020益阳市洞庭湖区防汛抢险演练”；组织相关职能部门，开展了“油罐区卸油作业现场油品泄漏应急演练”、“2020年全县道路运输企业重大交通事故应急救援演练”、“消防应急演练”、“消防安全疏散演练”、 6月30日南洲镇德昌小学开展了防震减灾应急疏散演练等一系列应急救援演练，大大提高了从业人员应对突发事件的自救、互救能力，增强了生产安全事故防范意识。</w:t>
      </w:r>
    </w:p>
    <w:p>
      <w:pPr>
        <w:pStyle w:val="2"/>
        <w:numPr>
          <w:ilvl w:val="0"/>
          <w:numId w:val="0"/>
        </w:numPr>
        <w:ind w:leftChars="0" w:firstLine="562" w:firstLineChars="200"/>
        <w:rPr>
          <w:rFonts w:hint="eastAsia" w:ascii="仿宋_GB2312" w:hAnsi="仿宋_GB2312" w:eastAsia="仿宋_GB2312" w:cs="仿宋_GB2312"/>
          <w:b w:val="0"/>
          <w:bCs w:val="0"/>
          <w:sz w:val="28"/>
          <w:szCs w:val="28"/>
          <w:lang w:val="en-US" w:eastAsia="zh-CN"/>
        </w:rPr>
      </w:pPr>
      <w:r>
        <w:rPr>
          <w:rFonts w:hint="eastAsia" w:hAnsi="仿宋_GB2312" w:cs="仿宋_GB2312"/>
          <w:b/>
          <w:bCs/>
          <w:sz w:val="28"/>
          <w:szCs w:val="28"/>
          <w:lang w:val="en-US" w:eastAsia="zh-CN"/>
        </w:rPr>
        <w:t>（5）</w:t>
      </w:r>
      <w:r>
        <w:rPr>
          <w:rFonts w:hint="eastAsia" w:ascii="仿宋_GB2312" w:hAnsi="仿宋_GB2312" w:eastAsia="仿宋_GB2312" w:cs="仿宋_GB2312"/>
          <w:b/>
          <w:bCs/>
          <w:sz w:val="28"/>
          <w:szCs w:val="28"/>
          <w:lang w:val="en-US" w:eastAsia="zh-CN"/>
        </w:rPr>
        <w:t>科学合理、公平公正，抓好预案和物质保障。</w:t>
      </w:r>
      <w:r>
        <w:rPr>
          <w:rFonts w:hint="eastAsia" w:ascii="仿宋_GB2312" w:hAnsi="仿宋_GB2312" w:eastAsia="仿宋_GB2312" w:cs="仿宋_GB2312"/>
          <w:sz w:val="28"/>
          <w:szCs w:val="28"/>
          <w:lang w:val="en-US" w:eastAsia="zh-CN"/>
        </w:rPr>
        <w:t>今年以来我县先后遭受洪涝灾、雹风灾两种灾害，全县共造成22683人次受灾，累计受灾面积10705公顷，一般损坏房屋465间，造成直接经济损失达16921.47万元。灾情发生后，县应急局相及时下乡核实灾情，指导村民做好排水工作，并加强了对地质灾害点和道路交通隐患的排查。发放了雨衣、雨靴、雨伞等救灾物资，督促乡镇启动了104台电排排渍，并联合政府相关部门在街道上使用8台抽水机抽水。目前，465间一般损坏房屋修复完毕。7月份，我局接收了两批物资，将其存放在合适的仓库，将物资登记造册、分类存放好、保持物资完整并处于未拆封状态；并根据之前收集到的灾情信息，合理调配物资用于救灾，并将物资发放情况详细登记成册。另外，我局将上级下拨的750万元的中央自然灾害生活补助资金，根据各乡镇受灾情况，积极研究救灾资金的分配方案，</w:t>
      </w:r>
      <w:r>
        <w:rPr>
          <w:rFonts w:hint="eastAsia" w:ascii="仿宋_GB2312" w:hAnsi="仿宋_GB2312" w:eastAsia="仿宋_GB2312" w:cs="仿宋_GB2312"/>
          <w:b w:val="0"/>
          <w:bCs w:val="0"/>
          <w:sz w:val="28"/>
          <w:szCs w:val="28"/>
          <w:lang w:val="en-US" w:eastAsia="zh-CN"/>
        </w:rPr>
        <w:t>并积极征求民政、财政的意见，做到科学合理、公平公正。</w:t>
      </w:r>
    </w:p>
    <w:p>
      <w:pPr>
        <w:pStyle w:val="2"/>
        <w:numPr>
          <w:ilvl w:val="0"/>
          <w:numId w:val="0"/>
        </w:numPr>
        <w:ind w:leftChars="0" w:firstLine="562" w:firstLineChars="200"/>
        <w:rPr>
          <w:rFonts w:hint="eastAsia" w:ascii="仿宋_GB2312" w:hAnsi="仿宋_GB2312" w:eastAsia="仿宋_GB2312" w:cs="仿宋_GB2312"/>
          <w:sz w:val="28"/>
          <w:szCs w:val="28"/>
          <w:lang w:val="en-US" w:eastAsia="zh-CN"/>
        </w:rPr>
      </w:pPr>
      <w:r>
        <w:rPr>
          <w:rFonts w:hint="eastAsia" w:hAnsi="仿宋_GB2312" w:cs="仿宋_GB2312"/>
          <w:b/>
          <w:bCs/>
          <w:sz w:val="28"/>
          <w:szCs w:val="28"/>
          <w:lang w:val="en-US" w:eastAsia="zh-CN"/>
        </w:rPr>
        <w:t>（6）</w:t>
      </w:r>
      <w:r>
        <w:rPr>
          <w:rFonts w:hint="eastAsia" w:ascii="仿宋_GB2312" w:hAnsi="仿宋_GB2312" w:eastAsia="仿宋_GB2312" w:cs="仿宋_GB2312"/>
          <w:b/>
          <w:bCs/>
          <w:sz w:val="28"/>
          <w:szCs w:val="28"/>
          <w:lang w:val="en-US" w:eastAsia="zh-CN"/>
        </w:rPr>
        <w:t>加强值班值守，及时报送信息。</w:t>
      </w:r>
      <w:r>
        <w:rPr>
          <w:rFonts w:hint="eastAsia" w:ascii="仿宋_GB2312" w:hAnsi="仿宋_GB2312" w:eastAsia="仿宋_GB2312" w:cs="仿宋_GB2312"/>
          <w:sz w:val="28"/>
          <w:szCs w:val="28"/>
          <w:lang w:val="en-US" w:eastAsia="zh-CN"/>
        </w:rPr>
        <w:t>我局严格落实领导干部在岗带班、24小时值班值守制度和安全生产、自然灾害信息上报制度,落实专人负责收集、汇总、上报每日动态信息。</w:t>
      </w:r>
    </w:p>
    <w:p>
      <w:pPr>
        <w:numPr>
          <w:ilvl w:val="0"/>
          <w:numId w:val="0"/>
        </w:numPr>
        <w:ind w:leftChars="0"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2.效益情况</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各项指标在县委、县政府的绩效考核全部合格。</w:t>
      </w:r>
    </w:p>
    <w:p>
      <w:pPr>
        <w:numPr>
          <w:ilvl w:val="0"/>
          <w:numId w:val="0"/>
        </w:numPr>
        <w:ind w:leftChars="0"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3.预算决算公开透明</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整体预算决算在南县人民政府网站公开。</w:t>
      </w:r>
    </w:p>
    <w:p>
      <w:pPr>
        <w:numPr>
          <w:ilvl w:val="0"/>
          <w:numId w:val="0"/>
        </w:numPr>
        <w:ind w:leftChars="0"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4.严控“三公经费”</w:t>
      </w:r>
    </w:p>
    <w:p>
      <w:pPr>
        <w:numPr>
          <w:ilvl w:val="0"/>
          <w:numId w:val="0"/>
        </w:numPr>
        <w:ind w:leftChars="0" w:firstLine="560" w:firstLineChars="200"/>
        <w:rPr>
          <w:rFonts w:hint="default"/>
          <w:lang w:val="en-US" w:eastAsia="zh-CN"/>
        </w:rPr>
      </w:pPr>
      <w:r>
        <w:rPr>
          <w:rFonts w:hint="eastAsia" w:ascii="仿宋_GB2312" w:hAnsi="仿宋_GB2312" w:eastAsia="仿宋_GB2312" w:cs="仿宋_GB2312"/>
          <w:sz w:val="28"/>
          <w:szCs w:val="28"/>
          <w:lang w:val="en-US" w:eastAsia="zh-CN"/>
        </w:rPr>
        <w:t>2020年“三公经费”财政拨款支出决算为2.19万元。其中：公务接待费支出2.19万元，与上年持平。</w:t>
      </w:r>
    </w:p>
    <w:p>
      <w:pPr>
        <w:pStyle w:val="2"/>
        <w:numPr>
          <w:ilvl w:val="0"/>
          <w:numId w:val="1"/>
        </w:numPr>
        <w:rPr>
          <w:rFonts w:hint="eastAsia"/>
          <w:b/>
          <w:bCs/>
          <w:lang w:val="en-US" w:eastAsia="zh-CN"/>
        </w:rPr>
      </w:pPr>
      <w:r>
        <w:rPr>
          <w:rFonts w:hint="eastAsia"/>
          <w:b/>
          <w:bCs/>
          <w:lang w:val="en-US" w:eastAsia="zh-CN"/>
        </w:rPr>
        <w:t>绩效评价工作情况</w:t>
      </w:r>
    </w:p>
    <w:p>
      <w:pPr>
        <w:numPr>
          <w:ilvl w:val="0"/>
          <w:numId w:val="0"/>
        </w:numPr>
        <w:ind w:leftChars="0" w:firstLine="562" w:firstLineChars="200"/>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b/>
          <w:bCs/>
          <w:sz w:val="28"/>
          <w:szCs w:val="28"/>
          <w:lang w:val="en-US" w:eastAsia="zh-CN"/>
        </w:rPr>
        <w:t>（一）绩效评价目的。</w:t>
      </w:r>
      <w:r>
        <w:rPr>
          <w:rFonts w:hint="default" w:ascii="仿宋_GB2312" w:hAnsi="仿宋_GB2312" w:eastAsia="仿宋_GB2312" w:cs="仿宋_GB2312"/>
          <w:sz w:val="28"/>
          <w:szCs w:val="28"/>
          <w:lang w:val="en-US" w:eastAsia="zh-CN"/>
        </w:rPr>
        <w:t>为了严格落实《预算法》及省、市、县绩效管理工作的有关规定，进一步规落财政资金的管理，强化财政支出绩效理念，提升部门责任意识，确保国有资产的安全有效地使用，资金合法合规的安全运行，提高资金的使用效益，促进应急管理事业的发展。</w:t>
      </w:r>
    </w:p>
    <w:p>
      <w:pPr>
        <w:numPr>
          <w:ilvl w:val="0"/>
          <w:numId w:val="0"/>
        </w:numPr>
        <w:ind w:leftChars="0" w:firstLine="562" w:firstLineChars="200"/>
        <w:rPr>
          <w:rFonts w:hint="eastAsia"/>
          <w:lang w:val="en-US" w:eastAsia="zh-CN"/>
        </w:rPr>
      </w:pPr>
      <w:r>
        <w:rPr>
          <w:rFonts w:hint="default" w:ascii="仿宋_GB2312" w:hAnsi="仿宋_GB2312" w:eastAsia="仿宋_GB2312" w:cs="仿宋_GB2312"/>
          <w:b/>
          <w:bCs/>
          <w:sz w:val="28"/>
          <w:szCs w:val="28"/>
          <w:lang w:val="en-US" w:eastAsia="zh-CN"/>
        </w:rPr>
        <w:t>（二）绩效评价工作过程。</w:t>
      </w:r>
      <w:r>
        <w:rPr>
          <w:rFonts w:hint="default" w:ascii="仿宋_GB2312" w:hAnsi="仿宋_GB2312" w:eastAsia="仿宋_GB2312" w:cs="仿宋_GB2312"/>
          <w:sz w:val="28"/>
          <w:szCs w:val="28"/>
          <w:lang w:val="en-US" w:eastAsia="zh-CN"/>
        </w:rPr>
        <w:t>根据绩效评价的要求，我局首先成立了自评工作领导小组，对照自评方案进行研究和布暑，党委成员、局属各单位及机关各股室全程参与，按照自评方案的要求，对照各实施项目的内容逐条逐项自评。在自评过程中发现问题，查找原因，及时纠正偏差，为下一步工作夯实基础，所有资金使用都能做到公开、公平、公正，随时接受上级检查验收和人民的监督。</w:t>
      </w:r>
    </w:p>
    <w:p>
      <w:pPr>
        <w:pStyle w:val="2"/>
        <w:ind w:firstLine="562" w:firstLineChars="200"/>
        <w:rPr>
          <w:rFonts w:hint="eastAsia" w:hAnsi="仿宋_GB2312" w:cs="仿宋_GB2312"/>
          <w:b/>
          <w:bCs/>
          <w:sz w:val="28"/>
          <w:szCs w:val="28"/>
          <w:lang w:val="en-US" w:eastAsia="zh-CN"/>
        </w:rPr>
      </w:pPr>
      <w:r>
        <w:rPr>
          <w:rFonts w:hint="eastAsia" w:hAnsi="仿宋_GB2312" w:cs="仿宋_GB2312"/>
          <w:b/>
          <w:bCs/>
          <w:sz w:val="28"/>
          <w:szCs w:val="28"/>
          <w:lang w:val="en-US" w:eastAsia="zh-CN"/>
        </w:rPr>
        <w:t>三、存在问题</w:t>
      </w:r>
    </w:p>
    <w:p>
      <w:pPr>
        <w:pStyle w:val="2"/>
        <w:ind w:firstLine="560" w:firstLineChars="200"/>
        <w:rPr>
          <w:rFonts w:hint="eastAsia" w:hAnsi="仿宋_GB2312" w:cs="仿宋_GB2312"/>
          <w:sz w:val="28"/>
          <w:szCs w:val="28"/>
          <w:lang w:val="en-US" w:eastAsia="zh-CN"/>
        </w:rPr>
      </w:pPr>
      <w:r>
        <w:rPr>
          <w:rFonts w:hint="eastAsia" w:hAnsi="仿宋_GB2312" w:cs="仿宋_GB2312"/>
          <w:sz w:val="28"/>
          <w:szCs w:val="28"/>
          <w:lang w:val="en-US" w:eastAsia="zh-CN"/>
        </w:rPr>
        <w:t>1、会计核算还不够严谨，导致项目支出和基本支出偶有混淆，未严格按照预算执行，还存在基本支出挤占项目支出的现象；</w:t>
      </w:r>
    </w:p>
    <w:p>
      <w:pPr>
        <w:pStyle w:val="2"/>
        <w:ind w:firstLine="560" w:firstLineChars="200"/>
        <w:rPr>
          <w:rFonts w:hint="eastAsia" w:hAnsi="仿宋_GB2312" w:cs="仿宋_GB2312"/>
          <w:sz w:val="28"/>
          <w:szCs w:val="28"/>
          <w:lang w:val="en-US" w:eastAsia="zh-CN"/>
        </w:rPr>
      </w:pPr>
      <w:r>
        <w:rPr>
          <w:rFonts w:hint="eastAsia" w:hAnsi="仿宋_GB2312" w:cs="仿宋_GB2312"/>
          <w:sz w:val="28"/>
          <w:szCs w:val="28"/>
          <w:lang w:val="en-US" w:eastAsia="zh-CN"/>
        </w:rPr>
        <w:t>2、绩效目标考核机制还不够健全。未设置清晰的年度目标，量化细化不够，未建立业务工作台账，没有建立绩效考核制度，绩效管理薄弱。</w:t>
      </w:r>
    </w:p>
    <w:p>
      <w:pPr>
        <w:pStyle w:val="2"/>
        <w:ind w:firstLine="562" w:firstLineChars="200"/>
        <w:rPr>
          <w:rFonts w:hint="eastAsia" w:hAnsi="仿宋_GB2312" w:cs="仿宋_GB2312"/>
          <w:b/>
          <w:bCs/>
          <w:sz w:val="28"/>
          <w:szCs w:val="28"/>
          <w:lang w:val="en-US" w:eastAsia="zh-CN"/>
        </w:rPr>
      </w:pPr>
      <w:r>
        <w:rPr>
          <w:rFonts w:hint="eastAsia" w:hAnsi="仿宋_GB2312" w:cs="仿宋_GB2312"/>
          <w:b/>
          <w:bCs/>
          <w:sz w:val="28"/>
          <w:szCs w:val="28"/>
          <w:lang w:val="en-US" w:eastAsia="zh-CN"/>
        </w:rPr>
        <w:t>四、有关建议</w:t>
      </w:r>
    </w:p>
    <w:p>
      <w:pPr>
        <w:pStyle w:val="2"/>
        <w:ind w:firstLine="560" w:firstLineChars="200"/>
        <w:rPr>
          <w:rFonts w:hint="default" w:hAnsi="仿宋_GB2312" w:cs="仿宋_GB2312"/>
          <w:sz w:val="28"/>
          <w:szCs w:val="28"/>
          <w:lang w:val="en-US" w:eastAsia="zh-CN"/>
        </w:rPr>
      </w:pPr>
      <w:r>
        <w:rPr>
          <w:rFonts w:hint="eastAsia" w:hAnsi="仿宋_GB2312" w:cs="仿宋_GB2312"/>
          <w:sz w:val="28"/>
          <w:szCs w:val="28"/>
          <w:lang w:val="en-US" w:eastAsia="zh-CN"/>
        </w:rPr>
        <w:t>1、</w:t>
      </w:r>
      <w:r>
        <w:rPr>
          <w:rFonts w:hint="default" w:hAnsi="仿宋_GB2312" w:cs="仿宋_GB2312"/>
          <w:sz w:val="28"/>
          <w:szCs w:val="28"/>
          <w:lang w:val="en-US" w:eastAsia="zh-CN"/>
        </w:rPr>
        <w:t>开展多种形式的讲座和培训，强化预算绩效管理意识，提高基层单位绩效评价工作水平。</w:t>
      </w:r>
    </w:p>
    <w:p>
      <w:pPr>
        <w:pStyle w:val="2"/>
        <w:ind w:firstLine="560" w:firstLineChars="200"/>
        <w:rPr>
          <w:rFonts w:hint="default" w:hAnsi="仿宋_GB2312" w:cs="仿宋_GB2312"/>
          <w:sz w:val="28"/>
          <w:szCs w:val="28"/>
          <w:lang w:val="en-US" w:eastAsia="zh-CN"/>
        </w:rPr>
      </w:pPr>
      <w:r>
        <w:rPr>
          <w:rFonts w:hint="eastAsia" w:hAnsi="仿宋_GB2312" w:cs="仿宋_GB2312"/>
          <w:sz w:val="28"/>
          <w:szCs w:val="28"/>
          <w:lang w:val="en-US" w:eastAsia="zh-CN"/>
        </w:rPr>
        <w:t>2、</w:t>
      </w:r>
      <w:r>
        <w:rPr>
          <w:rFonts w:hint="default" w:hAnsi="仿宋_GB2312" w:cs="仿宋_GB2312"/>
          <w:sz w:val="28"/>
          <w:szCs w:val="28"/>
          <w:lang w:val="en-US" w:eastAsia="zh-CN"/>
        </w:rPr>
        <w:t>加强绩效评价管理制度和流程的建设，进一步深化、完善绩效管理体系，建立全过程的绩效管理机制。</w:t>
      </w:r>
    </w:p>
    <w:p>
      <w:pPr>
        <w:pStyle w:val="2"/>
        <w:ind w:firstLine="560" w:firstLineChars="200"/>
        <w:rPr>
          <w:rFonts w:hint="default" w:hAnsi="仿宋_GB2312" w:cs="仿宋_GB2312"/>
          <w:sz w:val="28"/>
          <w:szCs w:val="28"/>
          <w:lang w:val="en-US" w:eastAsia="zh-CN"/>
        </w:rPr>
      </w:pPr>
      <w:r>
        <w:rPr>
          <w:rFonts w:hint="eastAsia" w:hAnsi="仿宋_GB2312" w:cs="仿宋_GB2312"/>
          <w:sz w:val="28"/>
          <w:szCs w:val="28"/>
          <w:lang w:val="en-US" w:eastAsia="zh-CN"/>
        </w:rPr>
        <w:t>3、</w:t>
      </w:r>
      <w:r>
        <w:rPr>
          <w:rFonts w:hint="default" w:hAnsi="仿宋_GB2312" w:cs="仿宋_GB2312"/>
          <w:sz w:val="28"/>
          <w:szCs w:val="28"/>
          <w:lang w:val="en-US" w:eastAsia="zh-CN"/>
        </w:rPr>
        <w:t>规范绩效评价管理资料的收集整理，确保相关信息完善、可靠</w:t>
      </w:r>
      <w:r>
        <w:rPr>
          <w:rFonts w:hint="eastAsia" w:hAnsi="仿宋_GB2312" w:cs="仿宋_GB2312"/>
          <w:sz w:val="28"/>
          <w:szCs w:val="28"/>
          <w:lang w:val="en-US" w:eastAsia="zh-CN"/>
        </w:rPr>
        <w:t>，</w:t>
      </w:r>
      <w:r>
        <w:rPr>
          <w:rFonts w:hint="default" w:hAnsi="仿宋_GB2312" w:cs="仿宋_GB2312"/>
          <w:sz w:val="28"/>
          <w:szCs w:val="28"/>
          <w:lang w:val="en-US" w:eastAsia="zh-CN"/>
        </w:rPr>
        <w:t>客观公正地反映项目资金实际使用和产生的绩效状况。</w:t>
      </w:r>
    </w:p>
    <w:p>
      <w:pPr>
        <w:pStyle w:val="2"/>
        <w:ind w:firstLine="562" w:firstLineChars="200"/>
        <w:rPr>
          <w:rFonts w:hint="default" w:hAnsi="仿宋_GB2312" w:cs="仿宋_GB2312"/>
          <w:sz w:val="28"/>
          <w:szCs w:val="28"/>
          <w:lang w:val="en-US" w:eastAsia="zh-CN"/>
        </w:rPr>
      </w:pPr>
      <w:r>
        <w:rPr>
          <w:rFonts w:hint="eastAsia" w:hAnsi="仿宋_GB2312" w:cs="仿宋_GB2312"/>
          <w:b/>
          <w:bCs/>
          <w:sz w:val="28"/>
          <w:szCs w:val="28"/>
          <w:lang w:val="en-US" w:eastAsia="zh-CN"/>
        </w:rPr>
        <w:t>五</w:t>
      </w:r>
      <w:r>
        <w:rPr>
          <w:rFonts w:hint="default" w:hAnsi="仿宋_GB2312" w:cs="仿宋_GB2312"/>
          <w:b/>
          <w:bCs/>
          <w:sz w:val="28"/>
          <w:szCs w:val="28"/>
          <w:lang w:val="en-US" w:eastAsia="zh-CN"/>
        </w:rPr>
        <w:t>、其他需要说明的问题 ：</w:t>
      </w:r>
      <w:r>
        <w:rPr>
          <w:rFonts w:hint="default" w:hAnsi="仿宋_GB2312" w:cs="仿宋_GB2312"/>
          <w:sz w:val="28"/>
          <w:szCs w:val="28"/>
          <w:lang w:val="en-US" w:eastAsia="zh-CN"/>
        </w:rPr>
        <w:t>无</w:t>
      </w:r>
    </w:p>
    <w:p>
      <w:pPr>
        <w:rPr>
          <w:rFonts w:hint="default" w:hAnsi="仿宋_GB2312" w:cs="仿宋_GB2312"/>
          <w:sz w:val="28"/>
          <w:szCs w:val="28"/>
          <w:lang w:val="en-US" w:eastAsia="zh-CN"/>
        </w:rPr>
      </w:pPr>
    </w:p>
    <w:p>
      <w:pPr>
        <w:pStyle w:val="2"/>
        <w:rPr>
          <w:rFonts w:hint="default" w:hAnsi="仿宋_GB2312" w:cs="仿宋_GB2312"/>
          <w:sz w:val="28"/>
          <w:szCs w:val="28"/>
          <w:lang w:val="en-US" w:eastAsia="zh-CN"/>
        </w:rPr>
      </w:pPr>
    </w:p>
    <w:p>
      <w:pPr>
        <w:spacing w:line="560" w:lineRule="exact"/>
        <w:rPr>
          <w:rFonts w:hint="eastAsia" w:ascii="黑体" w:hAnsi="黑体" w:eastAsia="黑体"/>
          <w:color w:val="000000"/>
          <w:sz w:val="28"/>
          <w:szCs w:val="28"/>
        </w:rPr>
      </w:pPr>
    </w:p>
    <w:p>
      <w:pPr>
        <w:spacing w:line="560" w:lineRule="exact"/>
        <w:rPr>
          <w:rFonts w:hint="eastAsia" w:ascii="黑体" w:hAnsi="黑体" w:eastAsia="黑体"/>
          <w:color w:val="000000"/>
          <w:sz w:val="28"/>
          <w:szCs w:val="28"/>
        </w:rPr>
      </w:pPr>
    </w:p>
    <w:p>
      <w:pPr>
        <w:spacing w:line="560" w:lineRule="exact"/>
        <w:rPr>
          <w:rFonts w:ascii="黑体" w:hAnsi="黑体" w:eastAsia="黑体"/>
          <w:color w:val="000000"/>
          <w:sz w:val="28"/>
          <w:szCs w:val="28"/>
        </w:rPr>
      </w:pPr>
      <w:bookmarkStart w:id="1" w:name="_GoBack"/>
      <w:bookmarkEnd w:id="1"/>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3"/>
        <w:tblW w:w="9992" w:type="dxa"/>
        <w:jc w:val="center"/>
        <w:tblLayout w:type="fixed"/>
        <w:tblCellMar>
          <w:top w:w="0" w:type="dxa"/>
          <w:left w:w="0" w:type="dxa"/>
          <w:bottom w:w="0" w:type="dxa"/>
          <w:right w:w="0" w:type="dxa"/>
        </w:tblCellMar>
      </w:tblPr>
      <w:tblGrid>
        <w:gridCol w:w="828"/>
        <w:gridCol w:w="784"/>
        <w:gridCol w:w="848"/>
        <w:gridCol w:w="749"/>
        <w:gridCol w:w="2411"/>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黑体" w:hAnsi="黑体" w:eastAsia="黑体"/>
                <w:color w:val="000000"/>
              </w:rPr>
            </w:pPr>
            <w:r>
              <w:rPr>
                <w:rFonts w:hint="eastAsia" w:ascii="黑体" w:hAnsi="黑体" w:eastAsia="黑体"/>
                <w:color w:val="000000"/>
              </w:rPr>
              <w:t>二级</w:t>
            </w:r>
          </w:p>
          <w:p>
            <w:pPr>
              <w:spacing w:line="240" w:lineRule="exact"/>
              <w:jc w:val="both"/>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黑体" w:hAnsi="黑体" w:eastAsia="黑体"/>
                <w:color w:val="000000"/>
              </w:rPr>
            </w:pPr>
            <w:r>
              <w:rPr>
                <w:rFonts w:hint="eastAsia" w:ascii="黑体" w:hAnsi="黑体" w:eastAsia="黑体"/>
                <w:color w:val="000000"/>
              </w:rPr>
              <w:t>三级  指标</w:t>
            </w:r>
          </w:p>
        </w:tc>
        <w:tc>
          <w:tcPr>
            <w:tcW w:w="749"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黑体" w:hAnsi="黑体" w:eastAsia="黑体"/>
                <w:color w:val="000000"/>
              </w:rPr>
            </w:pPr>
            <w:r>
              <w:rPr>
                <w:rFonts w:hint="eastAsia" w:ascii="黑体" w:hAnsi="黑体" w:eastAsia="黑体"/>
                <w:color w:val="000000"/>
              </w:rPr>
              <w:t>自评分</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both"/>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both"/>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4</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4</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1</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4</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4</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1</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1</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1</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2</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1</w:t>
            </w:r>
          </w:p>
        </w:tc>
        <w:tc>
          <w:tcPr>
            <w:tcW w:w="241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7</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3</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7</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9</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4</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749"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5</w:t>
            </w:r>
          </w:p>
        </w:tc>
        <w:tc>
          <w:tcPr>
            <w:tcW w:w="241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hint="eastAsia" w:ascii="仿宋_GB2312" w:hAnsi="宋体" w:eastAsiaTheme="minorEastAsia"/>
                <w:color w:val="000000"/>
                <w:lang w:val="en-US" w:eastAsia="zh-CN"/>
              </w:rPr>
            </w:pPr>
            <w:r>
              <w:rPr>
                <w:rFonts w:hint="eastAsia" w:ascii="仿宋_GB2312" w:hAnsi="宋体"/>
                <w:color w:val="000000"/>
                <w:lang w:val="en-US" w:eastAsia="zh-CN"/>
              </w:rPr>
              <w:t>总分</w:t>
            </w:r>
          </w:p>
        </w:tc>
        <w:tc>
          <w:tcPr>
            <w:tcW w:w="784" w:type="dxa"/>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749"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both"/>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92</w:t>
            </w:r>
          </w:p>
        </w:tc>
        <w:tc>
          <w:tcPr>
            <w:tcW w:w="2411"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rPr>
          <w:rFonts w:hint="default"/>
          <w:lang w:val="en-US" w:eastAsia="zh-CN"/>
        </w:rPr>
      </w:pPr>
      <w:r>
        <w:rPr>
          <w:rFonts w:hint="eastAsia" w:ascii="仿宋_GB2312" w:eastAsia="仿宋_GB2312"/>
          <w:color w:val="000000"/>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60437"/>
    <w:multiLevelType w:val="singleLevel"/>
    <w:tmpl w:val="002604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61F30"/>
    <w:rsid w:val="11837B87"/>
    <w:rsid w:val="1E3B18A3"/>
    <w:rsid w:val="221F0F40"/>
    <w:rsid w:val="25C47E7F"/>
    <w:rsid w:val="2CF96D35"/>
    <w:rsid w:val="39EE2EB3"/>
    <w:rsid w:val="46B7279A"/>
    <w:rsid w:val="4F2421E0"/>
    <w:rsid w:val="5133365E"/>
    <w:rsid w:val="54DC1C63"/>
    <w:rsid w:val="60E61F30"/>
    <w:rsid w:val="661A1092"/>
    <w:rsid w:val="686C1D10"/>
    <w:rsid w:val="71BF62C7"/>
    <w:rsid w:val="729E0C29"/>
    <w:rsid w:val="76876ED4"/>
    <w:rsid w:val="78124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rPr>
      <w:rFonts w:ascii="仿宋_GB2312" w:hAnsi="宋体"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2021-03-19T07:24:00Z</dcterms:created>
  <dc:creator>Administrator</dc:creator>
  <cp:lastModifiedBy>Administrator</cp:lastModifiedBy>
  <cp:lastPrinted>2021-04-07T02:19:00Z</cp:lastPrinted>
  <dcterms:modified xsi:type="dcterms:W3CDTF">2021-05-17T07:30:04Z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ABF066865DE548E98DEBE8458AAA1596</vt:lpwstr>
  </property>
</Properties>
</file>