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D0" w:rsidRDefault="00E51752">
      <w:pPr>
        <w:spacing w:line="560" w:lineRule="exact"/>
        <w:ind w:firstLine="880"/>
        <w:jc w:val="center"/>
        <w:rPr>
          <w:rFonts w:asciiTheme="minorEastAsia" w:eastAsiaTheme="minorEastAsia" w:hAnsiTheme="minorEastAsia"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color w:val="000000"/>
          <w:sz w:val="44"/>
          <w:szCs w:val="44"/>
        </w:rPr>
        <w:t>秸秆禁烧项目支出绩效评价报告</w:t>
      </w:r>
    </w:p>
    <w:p w:rsidR="001626D0" w:rsidRDefault="00E51752">
      <w:pPr>
        <w:spacing w:line="560" w:lineRule="exact"/>
        <w:ind w:firstLineChars="200" w:firstLine="422"/>
        <w:rPr>
          <w:rFonts w:asciiTheme="minorEastAsia" w:eastAsiaTheme="minorEastAsia" w:hAnsiTheme="minorEastAsia"/>
          <w:b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 xml:space="preserve"> </w:t>
      </w:r>
    </w:p>
    <w:p w:rsidR="001626D0" w:rsidRDefault="00E51752">
      <w:pPr>
        <w:topLinePunct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一、项目基本情况</w:t>
      </w:r>
    </w:p>
    <w:p w:rsidR="001626D0" w:rsidRDefault="00E51752">
      <w:pPr>
        <w:topLinePunct/>
        <w:autoSpaceDE w:val="0"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（一）项目基本情况简介。项目主要用于按照洞庭湖生态环境专项整治三年行动计划要求，大力禁止露天焚烧秸秆行为，达到群众秸秆禁烧意识进一步提高、露天焚烧秸秆行为明显减少、大气环境明显改善的目标等方面。</w:t>
      </w:r>
    </w:p>
    <w:p w:rsidR="001626D0" w:rsidRDefault="00E517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仿宋_GB2312"/>
          <w:spacing w:val="1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（二）绩效目标设定及指标完成情况。按照年初目标</w:t>
      </w:r>
      <w:r>
        <w:rPr>
          <w:rFonts w:asciiTheme="minorEastAsia" w:eastAsiaTheme="minorEastAsia" w:hAnsiTheme="minorEastAsia" w:cs="仿宋_GB2312" w:hint="eastAsia"/>
          <w:b/>
          <w:bCs/>
          <w:spacing w:val="11"/>
          <w:sz w:val="32"/>
          <w:szCs w:val="32"/>
        </w:rPr>
        <w:t>一是</w:t>
      </w:r>
      <w:r>
        <w:rPr>
          <w:rFonts w:asciiTheme="minorEastAsia" w:eastAsiaTheme="minorEastAsia" w:hAnsiTheme="minorEastAsia" w:cs="仿宋_GB2312" w:hint="eastAsia"/>
          <w:spacing w:val="11"/>
          <w:sz w:val="32"/>
          <w:szCs w:val="32"/>
        </w:rPr>
        <w:t>秸秆焚烧卫星火点数控制在红线内。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未达到市下达的</w:t>
      </w:r>
      <w:r w:rsidR="00E50A5E"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13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个控制指标数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;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秸秆焚烧卫星火点较往年大幅少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,</w:t>
      </w:r>
      <w:r>
        <w:rPr>
          <w:rFonts w:asciiTheme="minorEastAsia" w:eastAsiaTheme="minorEastAsia" w:hAnsiTheme="minorEastAsia" w:cs="仿宋_GB2312" w:hint="eastAsia"/>
          <w:b/>
          <w:bCs/>
          <w:spacing w:val="11"/>
          <w:sz w:val="32"/>
          <w:szCs w:val="32"/>
        </w:rPr>
        <w:t>二是</w:t>
      </w:r>
      <w:r w:rsidR="00E50A5E">
        <w:rPr>
          <w:rFonts w:asciiTheme="minorEastAsia" w:eastAsiaTheme="minorEastAsia" w:hAnsiTheme="minorEastAsia" w:cs="仿宋_GB2312" w:hint="eastAsia"/>
          <w:spacing w:val="11"/>
          <w:sz w:val="32"/>
          <w:szCs w:val="32"/>
        </w:rPr>
        <w:t>秸秆焚烧量大幅度减少，特别是县城区周边基本上没有秸秆焚烧现象</w:t>
      </w:r>
      <w:r>
        <w:rPr>
          <w:rFonts w:asciiTheme="minorEastAsia" w:eastAsiaTheme="minorEastAsia" w:hAnsiTheme="minorEastAsia" w:cs="仿宋_GB2312" w:hint="eastAsia"/>
          <w:spacing w:val="11"/>
          <w:sz w:val="32"/>
          <w:szCs w:val="32"/>
        </w:rPr>
        <w:t>，秸秆焚烧对大气环境质量影响已经很小。</w:t>
      </w:r>
    </w:p>
    <w:p w:rsidR="001626D0" w:rsidRDefault="00E51752">
      <w:pPr>
        <w:topLinePunct/>
        <w:autoSpaceDE w:val="0"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二、绩效评价工作情况</w:t>
      </w:r>
    </w:p>
    <w:p w:rsidR="001626D0" w:rsidRDefault="00E51752">
      <w:pPr>
        <w:topLinePunct/>
        <w:autoSpaceDE w:val="0"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（一）绩效评价目的。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规范资金使用用途，保障所辖单位日常监督全覆盖，严格专款专用，注重节俭节约，提高使用效率，强化绩效管理。</w:t>
      </w:r>
    </w:p>
    <w:p w:rsidR="001626D0" w:rsidRDefault="00E51752">
      <w:pPr>
        <w:topLinePunct/>
        <w:autoSpaceDE w:val="0"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（二）项目资金。主要用于保障所辖单位日常监督全覆盖，严格专款专用，注重节俭节约，提高使用效率，强化绩效管理。</w:t>
      </w:r>
    </w:p>
    <w:p w:rsidR="001626D0" w:rsidRDefault="00E51752">
      <w:pPr>
        <w:topLinePunct/>
        <w:autoSpaceDE w:val="0"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（三）项目组织情况分析。为搞好全县禁止露天焚烧秸秆行为工作的开展，年初制定了工作方案，明确了工作任务。</w:t>
      </w:r>
    </w:p>
    <w:p w:rsidR="001626D0" w:rsidRDefault="00E51752">
      <w:pPr>
        <w:topLinePunct/>
        <w:autoSpaceDE w:val="0"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（四）项目管理情况分析。主要包括项目管理制度、办法的制订、日常检查监督管理等情况。</w:t>
      </w:r>
    </w:p>
    <w:p w:rsidR="001626D0" w:rsidRDefault="00E51752">
      <w:pPr>
        <w:topLinePunct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三、项目绩效情况</w:t>
      </w:r>
    </w:p>
    <w:p w:rsidR="001626D0" w:rsidRDefault="00E51752">
      <w:pPr>
        <w:spacing w:line="560" w:lineRule="exact"/>
        <w:ind w:firstLineChars="200" w:firstLine="684"/>
        <w:jc w:val="left"/>
        <w:rPr>
          <w:rFonts w:asciiTheme="minorEastAsia" w:eastAsiaTheme="minorEastAsia" w:hAnsiTheme="minorEastAsia" w:cs="仿宋_GB2312"/>
          <w:spacing w:val="11"/>
          <w:sz w:val="32"/>
          <w:szCs w:val="32"/>
        </w:rPr>
      </w:pPr>
      <w:r>
        <w:rPr>
          <w:rFonts w:asciiTheme="minorEastAsia" w:eastAsiaTheme="minorEastAsia" w:hAnsiTheme="minorEastAsia" w:cs="方正楷体简体" w:hint="eastAsia"/>
          <w:spacing w:val="11"/>
          <w:sz w:val="32"/>
          <w:szCs w:val="32"/>
        </w:rPr>
        <w:lastRenderedPageBreak/>
        <w:t>（一）秸秆焚烧量较往年大幅度减少。</w:t>
      </w:r>
      <w:r>
        <w:rPr>
          <w:rFonts w:asciiTheme="minorEastAsia" w:eastAsiaTheme="minorEastAsia" w:hAnsiTheme="minorEastAsia" w:cs="仿宋_GB2312" w:hint="eastAsia"/>
          <w:b/>
          <w:bCs/>
          <w:spacing w:val="11"/>
          <w:sz w:val="32"/>
          <w:szCs w:val="32"/>
        </w:rPr>
        <w:t>一是</w:t>
      </w:r>
      <w:r>
        <w:rPr>
          <w:rFonts w:asciiTheme="minorEastAsia" w:eastAsiaTheme="minorEastAsia" w:hAnsiTheme="minorEastAsia" w:cs="仿宋_GB2312" w:hint="eastAsia"/>
          <w:spacing w:val="11"/>
          <w:sz w:val="32"/>
          <w:szCs w:val="32"/>
        </w:rPr>
        <w:t>秸秆焚烧卫星火点数控制在红线内。今年秸秆焚烧卫星火点核实数</w:t>
      </w:r>
      <w:r w:rsidR="00E50A5E">
        <w:rPr>
          <w:rFonts w:asciiTheme="minorEastAsia" w:eastAsiaTheme="minorEastAsia" w:hAnsiTheme="minorEastAsia" w:cs="仿宋_GB2312" w:hint="eastAsia"/>
          <w:spacing w:val="11"/>
          <w:sz w:val="32"/>
          <w:szCs w:val="32"/>
        </w:rPr>
        <w:t>10</w:t>
      </w:r>
      <w:r>
        <w:rPr>
          <w:rFonts w:asciiTheme="minorEastAsia" w:eastAsiaTheme="minorEastAsia" w:hAnsiTheme="minorEastAsia" w:cs="仿宋_GB2312" w:hint="eastAsia"/>
          <w:spacing w:val="11"/>
          <w:sz w:val="32"/>
          <w:szCs w:val="32"/>
        </w:rPr>
        <w:t>个，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未达到市下达的</w:t>
      </w:r>
      <w:r w:rsidR="00E50A5E"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13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个控制指标数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;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秸秆焚烧卫星火点较往年大幅少</w:t>
      </w:r>
      <w:r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,</w:t>
      </w:r>
      <w:r>
        <w:rPr>
          <w:rFonts w:asciiTheme="minorEastAsia" w:eastAsiaTheme="minorEastAsia" w:hAnsiTheme="minorEastAsia" w:cs="仿宋_GB2312" w:hint="eastAsia"/>
          <w:b/>
          <w:bCs/>
          <w:spacing w:val="11"/>
          <w:sz w:val="32"/>
          <w:szCs w:val="32"/>
        </w:rPr>
        <w:t>二是</w:t>
      </w:r>
      <w:r>
        <w:rPr>
          <w:rFonts w:asciiTheme="minorEastAsia" w:eastAsiaTheme="minorEastAsia" w:hAnsiTheme="minorEastAsia" w:cs="仿宋_GB2312" w:hint="eastAsia"/>
          <w:spacing w:val="11"/>
          <w:sz w:val="32"/>
          <w:szCs w:val="32"/>
        </w:rPr>
        <w:t>秸秆焚烧量大幅度减少，特别是县城区周边基本上没有秸秆焚烧现象，</w:t>
      </w:r>
      <w:r>
        <w:rPr>
          <w:rFonts w:asciiTheme="minorEastAsia" w:eastAsiaTheme="minorEastAsia" w:hAnsiTheme="minorEastAsia" w:cs="仿宋_GB2312" w:hint="eastAsia"/>
          <w:spacing w:val="11"/>
          <w:sz w:val="32"/>
          <w:szCs w:val="32"/>
        </w:rPr>
        <w:t>秸秆焚烧对大气环境质量影响已经很小。</w:t>
      </w:r>
    </w:p>
    <w:p w:rsidR="00E50A5E" w:rsidRDefault="00E51752" w:rsidP="00E50A5E">
      <w:pPr>
        <w:spacing w:line="560" w:lineRule="exact"/>
        <w:ind w:firstLineChars="200" w:firstLine="684"/>
        <w:jc w:val="left"/>
        <w:rPr>
          <w:rFonts w:asciiTheme="minorEastAsia" w:eastAsiaTheme="minorEastAsia" w:hAnsiTheme="minorEastAsia" w:cs="方正楷体简体" w:hint="eastAsia"/>
          <w:spacing w:val="11"/>
          <w:sz w:val="32"/>
          <w:szCs w:val="32"/>
        </w:rPr>
      </w:pPr>
      <w:r>
        <w:rPr>
          <w:rFonts w:asciiTheme="minorEastAsia" w:eastAsiaTheme="minorEastAsia" w:hAnsiTheme="minorEastAsia" w:cs="方正楷体简体" w:hint="eastAsia"/>
          <w:spacing w:val="11"/>
          <w:sz w:val="32"/>
          <w:szCs w:val="32"/>
        </w:rPr>
        <w:t>（二）秸秆粉碎还田有成效。</w:t>
      </w:r>
      <w:r w:rsidR="00E50A5E" w:rsidRPr="00E50A5E"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t>一是坚持高位推动。县委书记、县长多次召开专题会议研究禁烧工作。罗讯书记多次召开“禁烧专题调度会”;县政府于 12 月份召开了政府常务会研究禁烧工作，早部署，早安排；县分管领导亲自到田间地头督导禁烧工作；县禁烧办和各乡镇均组织召开了秸秆禁烧工作调度会和推进会等，压实责任，推动禁烧工作。二是健全禁烧机制。出台《南县人民政府关于禁止露天焚烧农作物秸秆、垃圾的通告》、《南县农作物秸秆禁烧工作实施方案》等文件，实行县、乡(镇)、村、组、户五级联动的网格化管理模式。将禁烧工作职责分解到个相关职能部门，各级一把手负责禁烧工作。严格落实“包田块”和“包收割机碎草还田”两个责任清单。明确全县每个田块禁烧责任人和每台作业收割机责任人，各责任人负责上门上户宣传，负责田块禁烧和收割机碎草还田作业。发现问题，在处置当事人的同时，追究相关责任人责任。三是全面粉碎还田。2000 余名农机手签订秸秆粉碎还田承诺书，未安装秸秆粉碎装置的不准下田收割作业。未安装秸秆粉碎装置的</w:t>
      </w:r>
      <w:r w:rsidR="00E50A5E" w:rsidRPr="00E50A5E">
        <w:rPr>
          <w:rFonts w:asciiTheme="minorEastAsia" w:eastAsiaTheme="minorEastAsia" w:hAnsiTheme="minorEastAsia" w:cs="仿宋_GB2312" w:hint="eastAsia"/>
          <w:spacing w:val="11"/>
          <w:kern w:val="32"/>
          <w:sz w:val="32"/>
          <w:szCs w:val="32"/>
        </w:rPr>
        <w:lastRenderedPageBreak/>
        <w:t>新购收割机，一律不进入购置补贴程序，目前，全县 1500 余台收割机已安装杆秸秆粉碎装置并开机作业，机械收获农作物桔杆粉碎率 100%。四是加强宣传引导。通过村村响广播定时宣传禁烧知识，在人流密集区域增加禁烧宣传标语，横幅，组织党员、干部上门宣传秸杆、垃圾露天禁烧政策等形式，发放、张贴宣传资料 85000 份；发放致农民朋友一封信 20 万余张；出动宣传车 2000 多台次。五是强化巡查执法。各乡镇组建禁烧巡逻执法队伍，建立禁烧工作常态化管理机制。在主要农作物收种和冬季烧荒等重点时段，全方位、全时段、高频率、高强度地巡查执法，做到凡烧必处置。目前已出动巡查、执法入员 3000 余人次。通过批评教育，训诫、罚款等形式处置违规露天焚烧农作物桔杆人员 136 人。六是严格考核督查。建立秸秆禁烧和综合利用工作考核办法，将禁烧工作纳入乡镇和相关部门年度绩效考核范围，以奖代拨</w:t>
      </w:r>
      <w:r w:rsidR="00E50A5E" w:rsidRPr="00E50A5E">
        <w:rPr>
          <w:rFonts w:asciiTheme="minorEastAsia" w:eastAsiaTheme="minorEastAsia" w:hAnsiTheme="minorEastAsia" w:cs="方正楷体简体" w:hint="eastAsia"/>
          <w:spacing w:val="11"/>
          <w:sz w:val="32"/>
          <w:szCs w:val="32"/>
        </w:rPr>
        <w:t>安排工作经费，落实责任迫究制度。</w:t>
      </w:r>
    </w:p>
    <w:p w:rsidR="001626D0" w:rsidRDefault="001626D0"/>
    <w:sectPr w:rsidR="001626D0" w:rsidSect="001626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752" w:rsidRDefault="00E51752" w:rsidP="001626D0">
      <w:r>
        <w:separator/>
      </w:r>
    </w:p>
  </w:endnote>
  <w:endnote w:type="continuationSeparator" w:id="0">
    <w:p w:rsidR="00E51752" w:rsidRDefault="00E51752" w:rsidP="0016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D0" w:rsidRDefault="001626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1626D0" w:rsidRDefault="001626D0">
                <w:pPr>
                  <w:pStyle w:val="a3"/>
                </w:pPr>
                <w:r>
                  <w:fldChar w:fldCharType="begin"/>
                </w:r>
                <w:r w:rsidR="00E51752">
                  <w:instrText xml:space="preserve"> PAGE  \* MERGEFORMAT </w:instrText>
                </w:r>
                <w:r>
                  <w:fldChar w:fldCharType="separate"/>
                </w:r>
                <w:r w:rsidR="00E50A5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752" w:rsidRDefault="00E51752" w:rsidP="001626D0">
      <w:r>
        <w:separator/>
      </w:r>
    </w:p>
  </w:footnote>
  <w:footnote w:type="continuationSeparator" w:id="0">
    <w:p w:rsidR="00E51752" w:rsidRDefault="00E51752" w:rsidP="00162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D7285A"/>
    <w:rsid w:val="001626D0"/>
    <w:rsid w:val="003B3858"/>
    <w:rsid w:val="006B1CCD"/>
    <w:rsid w:val="00A13C77"/>
    <w:rsid w:val="00C14283"/>
    <w:rsid w:val="00E50A5E"/>
    <w:rsid w:val="00E51752"/>
    <w:rsid w:val="36A90798"/>
    <w:rsid w:val="78D7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6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6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26D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626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胥爱平</dc:creator>
  <cp:lastModifiedBy>Administrator</cp:lastModifiedBy>
  <cp:revision>2</cp:revision>
  <cp:lastPrinted>2021-06-11T07:55:00Z</cp:lastPrinted>
  <dcterms:created xsi:type="dcterms:W3CDTF">2022-03-08T00:45:00Z</dcterms:created>
  <dcterms:modified xsi:type="dcterms:W3CDTF">2022-03-08T00:45:00Z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A85139CF34564CBCB524F36786BD52F9</vt:lpwstr>
  </property>
</Properties>
</file>