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B6" w:rsidRDefault="005A49B6" w:rsidP="005A49B6">
      <w:pPr>
        <w:spacing w:line="560" w:lineRule="exac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:rsidR="005A49B6" w:rsidRDefault="005A49B6" w:rsidP="005A49B6">
      <w:pPr>
        <w:spacing w:line="60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2021年项目支出绩效自评指标计分表</w:t>
      </w:r>
    </w:p>
    <w:p w:rsidR="005A49B6" w:rsidRDefault="005A49B6" w:rsidP="005A49B6">
      <w:pPr>
        <w:spacing w:line="40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1"/>
        <w:gridCol w:w="848"/>
        <w:gridCol w:w="773"/>
        <w:gridCol w:w="712"/>
        <w:gridCol w:w="3136"/>
        <w:gridCol w:w="3760"/>
      </w:tblGrid>
      <w:tr w:rsidR="005A49B6" w:rsidTr="00AA37D9">
        <w:trPr>
          <w:trHeight w:val="851"/>
          <w:tblHeader/>
          <w:jc w:val="center"/>
        </w:trPr>
        <w:tc>
          <w:tcPr>
            <w:tcW w:w="801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一级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二级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三级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评价标准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决策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20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目标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目标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内容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设有目标（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 </w:t>
            </w:r>
          </w:p>
          <w:p w:rsidR="005A49B6" w:rsidRDefault="005A49B6" w:rsidP="00AA37D9">
            <w:pPr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目标明确（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 </w:t>
            </w:r>
          </w:p>
          <w:p w:rsidR="005A49B6" w:rsidRDefault="005A49B6" w:rsidP="00AA37D9">
            <w:pPr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目标细化（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  </w:t>
            </w:r>
          </w:p>
          <w:p w:rsidR="005A49B6" w:rsidRDefault="005A49B6" w:rsidP="00AA37D9">
            <w:pPr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目标量化（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决策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过程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决策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依据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符合法律法规（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分）符合经济社会发展规划（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部门年度工作计划（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针对某一实际问题和需求（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决策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程序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符合申报条件（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分）项目申报、批复程序符合管理办法（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项目调整履行了相应手续（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办法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有相应的资金管理办法（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办法健全、规范（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因素全面合理（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结果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符合分配办法（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分配公平合理（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管理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到位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到位率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实际到位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计划到位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*100%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到位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时效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到位及时（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不及时但未影响项目进度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不及时并影响项目进度（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0.5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管理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使用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虚列套取扣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4-7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依据不合规扣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截留、挤占、挪用扣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3-6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超标准开支扣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超预算扣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2-5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财务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管理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财务制度健全（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分）严格执行制度（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分）会计核算规范（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组织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实施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10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组织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机构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242" w:hangingChars="100" w:hanging="200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机构健全、分工明确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实施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按计划开工（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按计划开展（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按计划完工（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管理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制度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6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管理制度健全（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制度执行严格（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绩效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产出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15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产出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数量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对照绩效目标，按实际产出数量率计算得分（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产出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质量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对照绩效目标，按实际产出质量率计算得分（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产出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时效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对照绩效目标，按实际产出时效率计算得分（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产出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成本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对照绩效目标，按实际产出成本率计算得分（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5A49B6" w:rsidRDefault="005A49B6" w:rsidP="00AA37D9">
            <w:pPr>
              <w:widowControl/>
              <w:spacing w:line="260" w:lineRule="exact"/>
              <w:rPr>
                <w:rFonts w:ascii="仿宋_GB2312" w:hAnsi="宋体"/>
                <w:color w:val="000000"/>
                <w:kern w:val="0"/>
                <w:sz w:val="20"/>
              </w:rPr>
            </w:pP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效果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40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经济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效益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对照绩效目标，按经济效益实现程度计算得分（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25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社会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效益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对照绩效目标，按社会效益实现程度计算得分（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环境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效益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对照绩效目标，按对环境所产生的实际影响程度计算得分（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可持续影响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项目产出能持续运用（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所依赖的政策制度能持续执行（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服务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 w:hint="eastAsia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对象满意度</w:t>
            </w:r>
          </w:p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按收集到的项目服务对象的满意率计算得分（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分）</w:t>
            </w:r>
          </w:p>
        </w:tc>
      </w:tr>
      <w:tr w:rsidR="005A49B6" w:rsidTr="00AA37D9">
        <w:trPr>
          <w:trHeight w:val="851"/>
          <w:jc w:val="center"/>
        </w:trPr>
        <w:tc>
          <w:tcPr>
            <w:tcW w:w="801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</w:rPr>
              <w:t>总 分</w:t>
            </w:r>
          </w:p>
        </w:tc>
        <w:tc>
          <w:tcPr>
            <w:tcW w:w="848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73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</w:p>
        </w:tc>
        <w:tc>
          <w:tcPr>
            <w:tcW w:w="712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>97</w:t>
            </w:r>
          </w:p>
        </w:tc>
        <w:tc>
          <w:tcPr>
            <w:tcW w:w="3136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760" w:type="dxa"/>
            <w:vAlign w:val="center"/>
          </w:tcPr>
          <w:p w:rsidR="005A49B6" w:rsidRDefault="005A49B6" w:rsidP="00AA37D9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5A49B6" w:rsidRDefault="005A49B6" w:rsidP="005132F0">
      <w:pPr>
        <w:ind w:firstLineChars="200" w:firstLine="880"/>
        <w:jc w:val="center"/>
        <w:rPr>
          <w:rFonts w:ascii="黑体" w:eastAsia="黑体" w:cs="黑体" w:hint="eastAsia"/>
          <w:sz w:val="44"/>
          <w:szCs w:val="44"/>
        </w:rPr>
      </w:pPr>
    </w:p>
    <w:p w:rsidR="005A49B6" w:rsidRDefault="005A49B6" w:rsidP="005132F0">
      <w:pPr>
        <w:ind w:firstLineChars="200" w:firstLine="880"/>
        <w:jc w:val="center"/>
        <w:rPr>
          <w:rFonts w:ascii="黑体" w:eastAsia="黑体" w:cs="黑体" w:hint="eastAsia"/>
          <w:sz w:val="44"/>
          <w:szCs w:val="44"/>
        </w:rPr>
      </w:pPr>
    </w:p>
    <w:p w:rsidR="005A49B6" w:rsidRDefault="005A49B6" w:rsidP="005132F0">
      <w:pPr>
        <w:ind w:firstLineChars="200" w:firstLine="880"/>
        <w:jc w:val="center"/>
        <w:rPr>
          <w:rFonts w:ascii="黑体" w:eastAsia="黑体" w:cs="黑体" w:hint="eastAsia"/>
          <w:sz w:val="44"/>
          <w:szCs w:val="44"/>
        </w:rPr>
      </w:pPr>
    </w:p>
    <w:p w:rsidR="005A49B6" w:rsidRDefault="005A49B6" w:rsidP="005132F0">
      <w:pPr>
        <w:ind w:firstLineChars="200" w:firstLine="880"/>
        <w:jc w:val="center"/>
        <w:rPr>
          <w:rFonts w:ascii="黑体" w:eastAsia="黑体" w:cs="黑体" w:hint="eastAsia"/>
          <w:sz w:val="44"/>
          <w:szCs w:val="44"/>
        </w:rPr>
      </w:pPr>
    </w:p>
    <w:p w:rsidR="005A49B6" w:rsidRDefault="005A49B6" w:rsidP="005132F0">
      <w:pPr>
        <w:ind w:firstLineChars="200" w:firstLine="880"/>
        <w:jc w:val="center"/>
        <w:rPr>
          <w:rFonts w:ascii="黑体" w:eastAsia="黑体" w:cs="黑体" w:hint="eastAsia"/>
          <w:sz w:val="44"/>
          <w:szCs w:val="44"/>
        </w:rPr>
      </w:pPr>
    </w:p>
    <w:p w:rsidR="005A49B6" w:rsidRDefault="005A49B6" w:rsidP="005A49B6">
      <w:pPr>
        <w:rPr>
          <w:rFonts w:ascii="黑体" w:eastAsia="黑体" w:cs="黑体" w:hint="eastAsia"/>
          <w:sz w:val="44"/>
          <w:szCs w:val="44"/>
        </w:rPr>
      </w:pPr>
    </w:p>
    <w:p w:rsidR="005132F0" w:rsidRDefault="005A49B6" w:rsidP="005A49B6">
      <w:pPr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lastRenderedPageBreak/>
        <w:t xml:space="preserve">        </w:t>
      </w:r>
      <w:r w:rsidR="005132F0" w:rsidRPr="005132F0">
        <w:rPr>
          <w:rFonts w:ascii="黑体" w:eastAsia="黑体" w:cs="黑体" w:hint="eastAsia"/>
          <w:sz w:val="44"/>
          <w:szCs w:val="44"/>
        </w:rPr>
        <w:t>南县</w:t>
      </w:r>
      <w:r w:rsidR="002368DC">
        <w:rPr>
          <w:rFonts w:ascii="黑体" w:eastAsia="黑体" w:cs="黑体" w:hint="eastAsia"/>
          <w:sz w:val="44"/>
          <w:szCs w:val="44"/>
        </w:rPr>
        <w:t>202</w:t>
      </w:r>
      <w:r w:rsidR="00E3394F">
        <w:rPr>
          <w:rFonts w:ascii="黑体" w:eastAsia="黑体" w:cs="黑体" w:hint="eastAsia"/>
          <w:sz w:val="44"/>
          <w:szCs w:val="44"/>
        </w:rPr>
        <w:t>1</w:t>
      </w:r>
      <w:r w:rsidR="005132F0" w:rsidRPr="005132F0">
        <w:rPr>
          <w:rFonts w:ascii="黑体" w:eastAsia="黑体" w:cs="黑体" w:hint="eastAsia"/>
          <w:sz w:val="44"/>
          <w:szCs w:val="44"/>
        </w:rPr>
        <w:t>年粮食生产专项资金</w:t>
      </w:r>
    </w:p>
    <w:p w:rsidR="005132F0" w:rsidRPr="005132F0" w:rsidRDefault="005132F0" w:rsidP="005132F0">
      <w:pPr>
        <w:ind w:firstLineChars="200" w:firstLine="880"/>
        <w:jc w:val="center"/>
        <w:rPr>
          <w:rFonts w:ascii="黑体" w:eastAsia="黑体" w:cs="黑体"/>
          <w:sz w:val="44"/>
          <w:szCs w:val="44"/>
        </w:rPr>
      </w:pPr>
      <w:r w:rsidRPr="005132F0">
        <w:rPr>
          <w:rFonts w:ascii="黑体" w:eastAsia="黑体" w:cs="黑体" w:hint="eastAsia"/>
          <w:sz w:val="44"/>
          <w:szCs w:val="44"/>
        </w:rPr>
        <w:t>（519万元）</w:t>
      </w:r>
      <w:r w:rsidR="006A580C">
        <w:rPr>
          <w:rFonts w:ascii="黑体" w:eastAsia="黑体" w:cs="黑体" w:hint="eastAsia"/>
          <w:sz w:val="44"/>
          <w:szCs w:val="44"/>
        </w:rPr>
        <w:t>支出</w:t>
      </w:r>
      <w:r>
        <w:rPr>
          <w:rFonts w:ascii="宋体" w:hAnsi="宋体" w:hint="eastAsia"/>
          <w:b/>
          <w:bCs/>
          <w:sz w:val="44"/>
          <w:szCs w:val="44"/>
        </w:rPr>
        <w:t>绩效</w:t>
      </w:r>
      <w:r w:rsidRPr="005132F0">
        <w:rPr>
          <w:rFonts w:ascii="黑体" w:eastAsia="黑体" w:cs="黑体" w:hint="eastAsia"/>
          <w:sz w:val="44"/>
          <w:szCs w:val="44"/>
        </w:rPr>
        <w:t>自评报告</w:t>
      </w:r>
    </w:p>
    <w:p w:rsidR="005132F0" w:rsidRPr="005132F0" w:rsidRDefault="005132F0" w:rsidP="005132F0">
      <w:pPr>
        <w:ind w:firstLineChars="200" w:firstLine="880"/>
        <w:rPr>
          <w:rFonts w:ascii="黑体" w:eastAsia="黑体" w:cs="黑体"/>
          <w:sz w:val="44"/>
          <w:szCs w:val="44"/>
        </w:rPr>
      </w:pPr>
    </w:p>
    <w:p w:rsidR="005132F0" w:rsidRDefault="005132F0" w:rsidP="005132F0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一、专项基本情况</w:t>
      </w:r>
    </w:p>
    <w:p w:rsidR="005132F0" w:rsidRDefault="005132F0" w:rsidP="005132F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、基本情况</w:t>
      </w:r>
    </w:p>
    <w:p w:rsidR="005132F0" w:rsidRDefault="005132F0" w:rsidP="005132F0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根据省、市人民政府文件精神要求，按南县人民政府《关于</w:t>
      </w:r>
      <w:r w:rsidR="00E3394F">
        <w:rPr>
          <w:rFonts w:ascii="仿宋_GB2312" w:eastAsia="仿宋_GB2312" w:cs="仿宋_GB2312" w:hint="eastAsia"/>
          <w:sz w:val="30"/>
          <w:szCs w:val="30"/>
        </w:rPr>
        <w:t>切实抓紧抓牢2021年</w:t>
      </w:r>
      <w:r>
        <w:rPr>
          <w:rFonts w:ascii="仿宋_GB2312" w:eastAsia="仿宋_GB2312" w:cs="仿宋_GB2312" w:hint="eastAsia"/>
          <w:sz w:val="30"/>
          <w:szCs w:val="30"/>
        </w:rPr>
        <w:t>粮食生产</w:t>
      </w:r>
      <w:r w:rsidR="00E3394F">
        <w:rPr>
          <w:rFonts w:ascii="仿宋_GB2312" w:eastAsia="仿宋_GB2312" w:cs="仿宋_GB2312" w:hint="eastAsia"/>
          <w:sz w:val="30"/>
          <w:szCs w:val="30"/>
        </w:rPr>
        <w:t>工作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="00E3394F">
        <w:rPr>
          <w:rFonts w:ascii="仿宋_GB2312" w:eastAsia="仿宋_GB2312" w:cs="仿宋_GB2312" w:hint="eastAsia"/>
          <w:sz w:val="30"/>
          <w:szCs w:val="30"/>
        </w:rPr>
        <w:t>决定</w:t>
      </w:r>
      <w:r>
        <w:rPr>
          <w:rFonts w:ascii="仿宋_GB2312" w:eastAsia="仿宋_GB2312" w:cs="仿宋_GB2312" w:hint="eastAsia"/>
          <w:sz w:val="30"/>
          <w:szCs w:val="30"/>
        </w:rPr>
        <w:t>》（南政发</w:t>
      </w:r>
      <w:r>
        <w:rPr>
          <w:rFonts w:ascii="仿宋_GB2312" w:eastAsia="仿宋_GB2312" w:cs="仿宋_GB2312"/>
          <w:sz w:val="30"/>
          <w:szCs w:val="30"/>
        </w:rPr>
        <w:t>[20</w:t>
      </w:r>
      <w:r w:rsidR="002368DC">
        <w:rPr>
          <w:rFonts w:ascii="仿宋_GB2312" w:eastAsia="仿宋_GB2312" w:cs="仿宋_GB2312"/>
          <w:sz w:val="30"/>
          <w:szCs w:val="30"/>
        </w:rPr>
        <w:t>2</w:t>
      </w:r>
      <w:r w:rsidR="00E3394F">
        <w:rPr>
          <w:rFonts w:ascii="仿宋_GB2312" w:eastAsia="仿宋_GB2312" w:cs="仿宋_GB2312" w:hint="eastAsia"/>
          <w:sz w:val="30"/>
          <w:szCs w:val="30"/>
        </w:rPr>
        <w:t>1</w:t>
      </w:r>
      <w:r>
        <w:rPr>
          <w:rFonts w:ascii="仿宋_GB2312" w:eastAsia="仿宋_GB2312" w:cs="仿宋_GB2312"/>
          <w:sz w:val="30"/>
          <w:szCs w:val="30"/>
        </w:rPr>
        <w:t>]</w:t>
      </w:r>
      <w:r w:rsidR="00E3394F">
        <w:rPr>
          <w:rFonts w:ascii="仿宋_GB2312" w:eastAsia="仿宋_GB2312" w:cs="仿宋_GB2312" w:hint="eastAsia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号）文件精神，从粮食生产大县奖励资金中安排粮食发展专项资金</w:t>
      </w:r>
      <w:r>
        <w:rPr>
          <w:rFonts w:ascii="仿宋_GB2312" w:eastAsia="仿宋_GB2312" w:cs="仿宋_GB2312"/>
          <w:sz w:val="30"/>
          <w:szCs w:val="30"/>
        </w:rPr>
        <w:t>519</w:t>
      </w:r>
      <w:r>
        <w:rPr>
          <w:rFonts w:ascii="仿宋_GB2312" w:eastAsia="仿宋_GB2312" w:cs="仿宋_GB2312" w:hint="eastAsia"/>
          <w:sz w:val="30"/>
          <w:szCs w:val="30"/>
        </w:rPr>
        <w:t>万元，主要用于早、晚稻集中育秧、</w:t>
      </w:r>
      <w:r w:rsidR="007172D8" w:rsidRPr="007172D8">
        <w:rPr>
          <w:rFonts w:ascii="仿宋_GB2312" w:eastAsia="仿宋_GB2312" w:cs="仿宋_GB2312" w:hint="eastAsia"/>
          <w:sz w:val="30"/>
          <w:szCs w:val="30"/>
        </w:rPr>
        <w:t>双季稻轮作暨粮油绿色高质高效行动</w:t>
      </w:r>
      <w:r>
        <w:rPr>
          <w:rFonts w:ascii="仿宋_GB2312" w:eastAsia="仿宋_GB2312" w:cs="仿宋_GB2312" w:hint="eastAsia"/>
          <w:sz w:val="30"/>
          <w:szCs w:val="30"/>
        </w:rPr>
        <w:t>及稻虾生态种养等重大项目实施专项配套。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/>
          <w:sz w:val="30"/>
          <w:szCs w:val="30"/>
        </w:rPr>
        <w:t>2</w:t>
      </w:r>
      <w:r w:rsidRPr="006A580C">
        <w:rPr>
          <w:rFonts w:ascii="仿宋_GB2312" w:eastAsia="仿宋_GB2312" w:cs="仿宋_GB2312" w:hint="eastAsia"/>
          <w:sz w:val="30"/>
          <w:szCs w:val="30"/>
        </w:rPr>
        <w:t>、专项资金实施情况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/>
          <w:sz w:val="30"/>
          <w:szCs w:val="30"/>
        </w:rPr>
        <w:t>20</w:t>
      </w:r>
      <w:r w:rsidR="007172D8" w:rsidRPr="006A580C">
        <w:rPr>
          <w:rFonts w:ascii="仿宋_GB2312" w:eastAsia="仿宋_GB2312" w:cs="仿宋_GB2312"/>
          <w:sz w:val="30"/>
          <w:szCs w:val="30"/>
        </w:rPr>
        <w:t>2</w:t>
      </w:r>
      <w:r w:rsidR="00E3394F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年粮食生产奖励专项资金</w:t>
      </w:r>
      <w:r w:rsidRPr="006A580C">
        <w:rPr>
          <w:rFonts w:ascii="仿宋_GB2312" w:eastAsia="仿宋_GB2312" w:cs="仿宋_GB2312"/>
          <w:sz w:val="30"/>
          <w:szCs w:val="30"/>
        </w:rPr>
        <w:t>519</w:t>
      </w:r>
      <w:r w:rsidRPr="006A580C">
        <w:rPr>
          <w:rFonts w:ascii="仿宋_GB2312" w:eastAsia="仿宋_GB2312" w:cs="仿宋_GB2312" w:hint="eastAsia"/>
          <w:sz w:val="30"/>
          <w:szCs w:val="30"/>
        </w:rPr>
        <w:t>万元。南县农业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农村</w:t>
      </w:r>
      <w:r w:rsidRPr="006A580C">
        <w:rPr>
          <w:rFonts w:ascii="仿宋_GB2312" w:eastAsia="仿宋_GB2312" w:cs="仿宋_GB2312" w:hint="eastAsia"/>
          <w:sz w:val="30"/>
          <w:szCs w:val="30"/>
        </w:rPr>
        <w:t>局</w:t>
      </w:r>
      <w:r w:rsidRPr="006A580C">
        <w:rPr>
          <w:rFonts w:ascii="仿宋_GB2312" w:eastAsia="仿宋_GB2312" w:cs="仿宋_GB2312"/>
          <w:sz w:val="30"/>
          <w:szCs w:val="30"/>
        </w:rPr>
        <w:t>20</w:t>
      </w:r>
      <w:r w:rsidR="007172D8" w:rsidRPr="006A580C">
        <w:rPr>
          <w:rFonts w:ascii="仿宋_GB2312" w:eastAsia="仿宋_GB2312" w:cs="仿宋_GB2312"/>
          <w:sz w:val="30"/>
          <w:szCs w:val="30"/>
        </w:rPr>
        <w:t>2</w:t>
      </w:r>
      <w:r w:rsidR="00E3394F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年实际完成投资</w:t>
      </w:r>
      <w:r w:rsidR="00E3394F" w:rsidRPr="006A580C">
        <w:rPr>
          <w:rFonts w:ascii="仿宋_GB2312" w:eastAsia="仿宋_GB2312" w:cs="仿宋_GB2312" w:hint="eastAsia"/>
          <w:sz w:val="30"/>
          <w:szCs w:val="30"/>
        </w:rPr>
        <w:t>550.3618</w:t>
      </w:r>
      <w:r w:rsidRPr="006A580C">
        <w:rPr>
          <w:rFonts w:ascii="仿宋_GB2312" w:eastAsia="仿宋_GB2312" w:cs="仿宋_GB2312" w:hint="eastAsia"/>
          <w:sz w:val="30"/>
          <w:szCs w:val="30"/>
        </w:rPr>
        <w:t>万元，完成计划投资的</w:t>
      </w:r>
      <w:r w:rsidR="00E3394F" w:rsidRPr="006A580C">
        <w:rPr>
          <w:rFonts w:ascii="仿宋_GB2312" w:eastAsia="仿宋_GB2312" w:cs="仿宋_GB2312" w:hint="eastAsia"/>
          <w:sz w:val="30"/>
          <w:szCs w:val="30"/>
        </w:rPr>
        <w:t>106</w:t>
      </w:r>
      <w:r w:rsidRPr="006A580C">
        <w:rPr>
          <w:rFonts w:ascii="仿宋_GB2312" w:eastAsia="仿宋_GB2312" w:cs="仿宋_GB2312"/>
          <w:sz w:val="30"/>
          <w:szCs w:val="30"/>
        </w:rPr>
        <w:t>%</w:t>
      </w:r>
      <w:r w:rsidRPr="006A580C">
        <w:rPr>
          <w:rFonts w:ascii="仿宋_GB2312" w:eastAsia="仿宋_GB2312" w:cs="仿宋_GB2312" w:hint="eastAsia"/>
          <w:sz w:val="30"/>
          <w:szCs w:val="30"/>
        </w:rPr>
        <w:t>。其中，早晚稻集中育秧</w:t>
      </w:r>
      <w:r>
        <w:rPr>
          <w:rFonts w:ascii="仿宋_GB2312" w:eastAsia="仿宋_GB2312" w:cs="仿宋_GB2312" w:hint="eastAsia"/>
          <w:sz w:val="30"/>
          <w:szCs w:val="30"/>
        </w:rPr>
        <w:t>种子、软盘、竹弓、地膜、壮秧剂等各项物化补贴开支</w:t>
      </w:r>
      <w:r w:rsidR="00565647">
        <w:rPr>
          <w:rFonts w:ascii="仿宋_GB2312" w:eastAsia="仿宋_GB2312" w:cs="仿宋_GB2312" w:hint="eastAsia"/>
          <w:sz w:val="30"/>
          <w:szCs w:val="30"/>
        </w:rPr>
        <w:t>347.1378</w:t>
      </w:r>
      <w:r>
        <w:rPr>
          <w:rFonts w:ascii="仿宋_GB2312" w:eastAsia="仿宋_GB2312" w:cs="仿宋_GB2312" w:hint="eastAsia"/>
          <w:sz w:val="30"/>
          <w:szCs w:val="30"/>
        </w:rPr>
        <w:t>万元；</w:t>
      </w:r>
      <w:r w:rsidR="007172D8" w:rsidRPr="007172D8">
        <w:rPr>
          <w:rFonts w:ascii="仿宋_GB2312" w:eastAsia="仿宋_GB2312" w:cs="仿宋_GB2312" w:hint="eastAsia"/>
          <w:sz w:val="30"/>
          <w:szCs w:val="30"/>
        </w:rPr>
        <w:t>双季稻轮作暨粮油绿色高质高效行动</w:t>
      </w:r>
      <w:r w:rsidR="007172D8">
        <w:rPr>
          <w:rFonts w:ascii="仿宋_GB2312" w:eastAsia="仿宋_GB2312" w:cs="仿宋_GB2312" w:hint="eastAsia"/>
          <w:sz w:val="30"/>
          <w:szCs w:val="30"/>
        </w:rPr>
        <w:t>及稻虾生态种养</w:t>
      </w:r>
      <w:r>
        <w:rPr>
          <w:rFonts w:ascii="仿宋_GB2312" w:eastAsia="仿宋_GB2312" w:cs="仿宋_GB2312" w:hint="eastAsia"/>
          <w:sz w:val="30"/>
          <w:szCs w:val="30"/>
        </w:rPr>
        <w:t>专项物化补贴种子开支</w:t>
      </w:r>
      <w:r w:rsidR="00565647">
        <w:rPr>
          <w:rFonts w:ascii="仿宋_GB2312" w:eastAsia="仿宋_GB2312" w:cs="仿宋_GB2312" w:hint="eastAsia"/>
          <w:sz w:val="30"/>
          <w:szCs w:val="30"/>
        </w:rPr>
        <w:t>200.76</w:t>
      </w:r>
      <w:r>
        <w:rPr>
          <w:rFonts w:ascii="仿宋_GB2312" w:eastAsia="仿宋_GB2312" w:cs="仿宋_GB2312" w:hint="eastAsia"/>
          <w:sz w:val="30"/>
          <w:szCs w:val="30"/>
        </w:rPr>
        <w:t>万元</w:t>
      </w:r>
      <w:r w:rsidR="00565647">
        <w:rPr>
          <w:rFonts w:ascii="仿宋_GB2312" w:eastAsia="仿宋_GB2312" w:cs="仿宋_GB2312" w:hint="eastAsia"/>
          <w:sz w:val="30"/>
          <w:szCs w:val="30"/>
        </w:rPr>
        <w:t>,技术资料打印及宣传制作费2.464万元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 w:rsidRPr="006A580C">
        <w:rPr>
          <w:rFonts w:ascii="仿宋_GB2312" w:eastAsia="仿宋_GB2312" w:cs="仿宋_GB2312" w:hint="eastAsia"/>
          <w:sz w:val="30"/>
          <w:szCs w:val="30"/>
        </w:rPr>
        <w:t>在资金的使用上由财政局和农业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农村</w:t>
      </w:r>
      <w:r w:rsidRPr="006A580C">
        <w:rPr>
          <w:rFonts w:ascii="仿宋_GB2312" w:eastAsia="仿宋_GB2312" w:cs="仿宋_GB2312" w:hint="eastAsia"/>
          <w:sz w:val="30"/>
          <w:szCs w:val="30"/>
        </w:rPr>
        <w:t>局领导审核把关，根据项目实施进度进行资金支付，坚持项目资金专款专用，不截留、不滞留、不挪用。</w:t>
      </w:r>
    </w:p>
    <w:p w:rsidR="005132F0" w:rsidRPr="006A580C" w:rsidRDefault="005132F0" w:rsidP="006A580C">
      <w:pPr>
        <w:ind w:firstLineChars="200" w:firstLine="640"/>
        <w:rPr>
          <w:rFonts w:ascii="黑体" w:eastAsia="黑体" w:cs="黑体"/>
          <w:sz w:val="32"/>
          <w:szCs w:val="32"/>
        </w:rPr>
      </w:pPr>
      <w:r w:rsidRPr="006A580C">
        <w:rPr>
          <w:rFonts w:ascii="黑体" w:eastAsia="黑体" w:cs="黑体" w:hint="eastAsia"/>
          <w:sz w:val="32"/>
          <w:szCs w:val="32"/>
        </w:rPr>
        <w:t>二、绩效评价意见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南县农业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农村</w:t>
      </w:r>
      <w:r w:rsidRPr="006A580C">
        <w:rPr>
          <w:rFonts w:ascii="仿宋_GB2312" w:eastAsia="仿宋_GB2312" w:cs="仿宋_GB2312" w:hint="eastAsia"/>
          <w:sz w:val="30"/>
          <w:szCs w:val="30"/>
        </w:rPr>
        <w:t>局及相关部门重视粮食生产工作，并结合本县实际采取相应措施加以实施，取得了一定的成效，有效地控制了</w:t>
      </w:r>
      <w:r w:rsidRPr="006A580C">
        <w:rPr>
          <w:rFonts w:ascii="仿宋_GB2312" w:eastAsia="仿宋_GB2312" w:cs="仿宋_GB2312" w:hint="eastAsia"/>
          <w:sz w:val="30"/>
          <w:szCs w:val="30"/>
        </w:rPr>
        <w:lastRenderedPageBreak/>
        <w:t>水稻直播，促进了南县粮食生产稳步发展。</w:t>
      </w:r>
      <w:r w:rsidRPr="006A580C">
        <w:rPr>
          <w:rFonts w:ascii="仿宋_GB2312" w:eastAsia="仿宋_GB2312" w:cs="仿宋_GB2312"/>
          <w:sz w:val="30"/>
          <w:szCs w:val="30"/>
        </w:rPr>
        <w:t>20</w:t>
      </w:r>
      <w:r w:rsidR="007172D8" w:rsidRPr="006A580C">
        <w:rPr>
          <w:rFonts w:ascii="仿宋_GB2312" w:eastAsia="仿宋_GB2312" w:cs="仿宋_GB2312"/>
          <w:sz w:val="30"/>
          <w:szCs w:val="30"/>
        </w:rPr>
        <w:t>2</w:t>
      </w:r>
      <w:r w:rsidR="00565647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年度粮食生产奖励专项资金的管理、使用</w:t>
      </w:r>
      <w:r w:rsidRPr="006A580C">
        <w:rPr>
          <w:rFonts w:ascii="仿宋_GB2312" w:eastAsia="仿宋_GB2312" w:cs="仿宋_GB2312"/>
          <w:sz w:val="30"/>
          <w:szCs w:val="30"/>
        </w:rPr>
        <w:t>,</w:t>
      </w:r>
      <w:r w:rsidRPr="006A580C">
        <w:rPr>
          <w:rFonts w:ascii="仿宋_GB2312" w:eastAsia="仿宋_GB2312" w:cs="仿宋_GB2312" w:hint="eastAsia"/>
          <w:sz w:val="30"/>
          <w:szCs w:val="30"/>
        </w:rPr>
        <w:t>较好地遵守了国家现行财政法规。</w:t>
      </w:r>
    </w:p>
    <w:p w:rsidR="00F02B31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/>
          <w:sz w:val="30"/>
          <w:szCs w:val="30"/>
        </w:rPr>
        <w:t>20</w:t>
      </w:r>
      <w:r w:rsidR="007172D8" w:rsidRPr="006A580C">
        <w:rPr>
          <w:rFonts w:ascii="仿宋_GB2312" w:eastAsia="仿宋_GB2312" w:cs="仿宋_GB2312"/>
          <w:sz w:val="30"/>
          <w:szCs w:val="30"/>
        </w:rPr>
        <w:t>2</w:t>
      </w:r>
      <w:r w:rsidR="00565647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年南县共实施水稻集中育秧面积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4.18</w:t>
      </w:r>
      <w:r w:rsidRPr="006A580C">
        <w:rPr>
          <w:rFonts w:ascii="仿宋_GB2312" w:eastAsia="仿宋_GB2312" w:cs="仿宋_GB2312" w:hint="eastAsia"/>
          <w:sz w:val="30"/>
          <w:szCs w:val="30"/>
        </w:rPr>
        <w:t>万亩，水稻集中育秧实施的项目区经济效益和社会效益明显。首先是经济效益，全县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4.18</w:t>
      </w:r>
      <w:r w:rsidRPr="006A580C">
        <w:rPr>
          <w:rFonts w:ascii="仿宋_GB2312" w:eastAsia="仿宋_GB2312" w:cs="仿宋_GB2312" w:hint="eastAsia"/>
          <w:sz w:val="30"/>
          <w:szCs w:val="30"/>
        </w:rPr>
        <w:t>万亩抛栽早稻，测产验收平均亩产</w:t>
      </w:r>
      <w:r w:rsidR="007172D8" w:rsidRPr="006A580C">
        <w:rPr>
          <w:rFonts w:ascii="仿宋_GB2312" w:eastAsia="仿宋_GB2312" w:cs="仿宋_GB2312"/>
          <w:sz w:val="30"/>
          <w:szCs w:val="30"/>
        </w:rPr>
        <w:t>4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88</w:t>
      </w:r>
      <w:r w:rsidRPr="006A580C">
        <w:rPr>
          <w:rFonts w:ascii="仿宋_GB2312" w:eastAsia="仿宋_GB2312" w:cs="仿宋_GB2312"/>
          <w:sz w:val="30"/>
          <w:szCs w:val="30"/>
        </w:rPr>
        <w:t>.5</w:t>
      </w:r>
      <w:r w:rsidRPr="006A580C">
        <w:rPr>
          <w:rFonts w:ascii="仿宋_GB2312" w:eastAsia="仿宋_GB2312" w:cs="仿宋_GB2312" w:hint="eastAsia"/>
          <w:sz w:val="30"/>
          <w:szCs w:val="30"/>
        </w:rPr>
        <w:t>公斤，较非集中育秧区亩均增产</w:t>
      </w:r>
      <w:r w:rsidRPr="006A580C">
        <w:rPr>
          <w:rFonts w:ascii="仿宋_GB2312" w:eastAsia="仿宋_GB2312" w:cs="仿宋_GB2312"/>
          <w:sz w:val="30"/>
          <w:szCs w:val="30"/>
        </w:rPr>
        <w:t>1</w:t>
      </w:r>
      <w:r w:rsidR="007172D8" w:rsidRPr="006A580C">
        <w:rPr>
          <w:rFonts w:ascii="仿宋_GB2312" w:eastAsia="仿宋_GB2312" w:cs="仿宋_GB2312"/>
          <w:sz w:val="30"/>
          <w:szCs w:val="30"/>
        </w:rPr>
        <w:t>00</w:t>
      </w:r>
      <w:r w:rsidRPr="006A580C">
        <w:rPr>
          <w:rFonts w:ascii="仿宋_GB2312" w:eastAsia="仿宋_GB2312" w:cs="仿宋_GB2312" w:hint="eastAsia"/>
          <w:sz w:val="30"/>
          <w:szCs w:val="30"/>
        </w:rPr>
        <w:t>公斤，亩均增效</w:t>
      </w:r>
      <w:r w:rsidR="007172D8" w:rsidRPr="006A580C">
        <w:rPr>
          <w:rFonts w:ascii="仿宋_GB2312" w:eastAsia="仿宋_GB2312" w:cs="仿宋_GB2312"/>
          <w:sz w:val="30"/>
          <w:szCs w:val="30"/>
        </w:rPr>
        <w:t>242</w:t>
      </w:r>
      <w:r w:rsidRPr="006A580C">
        <w:rPr>
          <w:rFonts w:ascii="仿宋_GB2312" w:eastAsia="仿宋_GB2312" w:cs="仿宋_GB2312" w:hint="eastAsia"/>
          <w:sz w:val="30"/>
          <w:szCs w:val="30"/>
        </w:rPr>
        <w:t>元（按保护价测算），其次是生态效益，水稻集中育秧示范片较非示范区减少化肥农药的施用量，降低了作物中的农药残留，提高了农作物品质，有利于国家农产品质量安全和环境保护。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稻虾生态种养的实施情况：20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2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年我们在全县示范推广4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4</w:t>
      </w:r>
      <w:r w:rsidRPr="006A580C">
        <w:rPr>
          <w:rFonts w:ascii="仿宋_GB2312" w:eastAsia="仿宋_GB2312" w:cs="仿宋_GB2312" w:hint="eastAsia"/>
          <w:sz w:val="30"/>
          <w:szCs w:val="30"/>
        </w:rPr>
        <w:t>万亩，在茅草街镇、三仙湖镇、青树嘴镇、南洲镇、创办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4</w:t>
      </w:r>
      <w:r w:rsidRPr="006A580C">
        <w:rPr>
          <w:rFonts w:ascii="仿宋_GB2312" w:eastAsia="仿宋_GB2312" w:cs="仿宋_GB2312" w:hint="eastAsia"/>
          <w:sz w:val="30"/>
          <w:szCs w:val="30"/>
        </w:rPr>
        <w:t>个整建制创建示范乡镇，在明山头镇、乌嘴乡创办了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2</w:t>
      </w:r>
      <w:r w:rsidRPr="006A580C">
        <w:rPr>
          <w:rFonts w:ascii="仿宋_GB2312" w:eastAsia="仿宋_GB2312" w:cs="仿宋_GB2312" w:hint="eastAsia"/>
          <w:sz w:val="30"/>
          <w:szCs w:val="30"/>
        </w:rPr>
        <w:t>个万亩示范片。据调查统计，今年小龙虾平均单产1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50</w:t>
      </w:r>
      <w:r w:rsidRPr="006A580C">
        <w:rPr>
          <w:rFonts w:ascii="仿宋_GB2312" w:eastAsia="仿宋_GB2312" w:cs="仿宋_GB2312" w:hint="eastAsia"/>
          <w:sz w:val="30"/>
          <w:szCs w:val="30"/>
        </w:rPr>
        <w:t>公斤，平均</w:t>
      </w:r>
      <w:bookmarkStart w:id="0" w:name="_GoBack"/>
      <w:bookmarkEnd w:id="0"/>
      <w:r w:rsidRPr="006A580C">
        <w:rPr>
          <w:rFonts w:ascii="仿宋_GB2312" w:eastAsia="仿宋_GB2312" w:cs="仿宋_GB2312" w:hint="eastAsia"/>
          <w:sz w:val="30"/>
          <w:szCs w:val="30"/>
        </w:rPr>
        <w:t>销售价为3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0</w:t>
      </w:r>
      <w:r w:rsidRPr="006A580C">
        <w:rPr>
          <w:rFonts w:ascii="仿宋_GB2312" w:eastAsia="仿宋_GB2312" w:cs="仿宋_GB2312" w:hint="eastAsia"/>
          <w:sz w:val="30"/>
          <w:szCs w:val="30"/>
        </w:rPr>
        <w:t>元/公斤，亩产值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4500</w:t>
      </w:r>
      <w:r w:rsidRPr="006A580C">
        <w:rPr>
          <w:rFonts w:ascii="仿宋_GB2312" w:eastAsia="仿宋_GB2312" w:cs="仿宋_GB2312" w:hint="eastAsia"/>
          <w:sz w:val="30"/>
          <w:szCs w:val="30"/>
        </w:rPr>
        <w:t>元，稻谷平均单产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450</w:t>
      </w:r>
      <w:r w:rsidRPr="006A580C">
        <w:rPr>
          <w:rFonts w:ascii="仿宋_GB2312" w:eastAsia="仿宋_GB2312" w:cs="仿宋_GB2312" w:hint="eastAsia"/>
          <w:sz w:val="30"/>
          <w:szCs w:val="30"/>
        </w:rPr>
        <w:t>公斤，亩平产值</w:t>
      </w:r>
      <w:r w:rsidR="007172D8" w:rsidRPr="006A580C">
        <w:rPr>
          <w:rFonts w:ascii="仿宋_GB2312" w:eastAsia="仿宋_GB2312" w:cs="仿宋_GB2312" w:hint="eastAsia"/>
          <w:sz w:val="30"/>
          <w:szCs w:val="30"/>
        </w:rPr>
        <w:t>1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635</w:t>
      </w:r>
      <w:r w:rsidRPr="006A580C">
        <w:rPr>
          <w:rFonts w:ascii="仿宋_GB2312" w:eastAsia="仿宋_GB2312" w:cs="仿宋_GB2312" w:hint="eastAsia"/>
          <w:sz w:val="30"/>
          <w:szCs w:val="30"/>
        </w:rPr>
        <w:t>元，全年亩平总产值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6135</w:t>
      </w:r>
      <w:r w:rsidRPr="006A580C">
        <w:rPr>
          <w:rFonts w:ascii="仿宋_GB2312" w:eastAsia="仿宋_GB2312" w:cs="仿宋_GB2312" w:hint="eastAsia"/>
          <w:sz w:val="30"/>
          <w:szCs w:val="30"/>
        </w:rPr>
        <w:t>元，亩平纯收入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2135</w:t>
      </w:r>
      <w:r w:rsidRPr="006A580C">
        <w:rPr>
          <w:rFonts w:ascii="仿宋_GB2312" w:eastAsia="仿宋_GB2312" w:cs="仿宋_GB2312" w:hint="eastAsia"/>
          <w:sz w:val="30"/>
          <w:szCs w:val="30"/>
        </w:rPr>
        <w:t xml:space="preserve">元。    </w:t>
      </w:r>
    </w:p>
    <w:p w:rsidR="007172D8" w:rsidRPr="006A580C" w:rsidRDefault="007172D8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双季稻轮作暨粮油绿色高质高效行动</w:t>
      </w:r>
      <w:r w:rsidR="005132F0" w:rsidRPr="006A580C">
        <w:rPr>
          <w:rFonts w:ascii="仿宋_GB2312" w:eastAsia="仿宋_GB2312" w:cs="仿宋_GB2312" w:hint="eastAsia"/>
          <w:sz w:val="30"/>
          <w:szCs w:val="30"/>
        </w:rPr>
        <w:t>的实施情况：</w:t>
      </w:r>
      <w:r w:rsidRPr="006A580C">
        <w:rPr>
          <w:rFonts w:ascii="仿宋_GB2312" w:eastAsia="仿宋_GB2312" w:cs="仿宋_GB2312" w:hint="eastAsia"/>
          <w:sz w:val="30"/>
          <w:szCs w:val="30"/>
        </w:rPr>
        <w:t>1、粮食增产。全县创建面积5.2万亩，经农业农村局专家组测产，早稻平均单产达</w:t>
      </w:r>
      <w:r w:rsidRPr="006A580C">
        <w:rPr>
          <w:rFonts w:ascii="仿宋_GB2312" w:eastAsia="仿宋_GB2312" w:cs="仿宋_GB2312"/>
          <w:sz w:val="30"/>
          <w:szCs w:val="30"/>
        </w:rPr>
        <w:t>4</w:t>
      </w:r>
      <w:r w:rsidRPr="006A580C">
        <w:rPr>
          <w:rFonts w:ascii="仿宋_GB2312" w:eastAsia="仿宋_GB2312" w:cs="仿宋_GB2312" w:hint="eastAsia"/>
          <w:sz w:val="30"/>
          <w:szCs w:val="30"/>
        </w:rPr>
        <w:t>56.9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公斤</w:t>
      </w:r>
      <w:r w:rsidRPr="006A580C">
        <w:rPr>
          <w:rFonts w:ascii="仿宋_GB2312" w:eastAsia="仿宋_GB2312" w:cs="仿宋_GB2312" w:hint="eastAsia"/>
          <w:sz w:val="30"/>
          <w:szCs w:val="30"/>
        </w:rPr>
        <w:t>，比全县平均增产</w:t>
      </w:r>
      <w:r w:rsidR="00F02B31" w:rsidRPr="006A580C">
        <w:rPr>
          <w:rFonts w:ascii="仿宋_GB2312" w:eastAsia="仿宋_GB2312" w:cs="仿宋_GB2312" w:hint="eastAsia"/>
          <w:sz w:val="30"/>
          <w:szCs w:val="30"/>
        </w:rPr>
        <w:t>67.95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公斤</w:t>
      </w:r>
      <w:r w:rsidRPr="006A580C">
        <w:rPr>
          <w:rFonts w:ascii="仿宋_GB2312" w:eastAsia="仿宋_GB2312" w:cs="仿宋_GB2312" w:hint="eastAsia"/>
          <w:sz w:val="30"/>
          <w:szCs w:val="30"/>
        </w:rPr>
        <w:t>，增产稻谷0.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35</w:t>
      </w:r>
      <w:r w:rsidRPr="006A580C">
        <w:rPr>
          <w:rFonts w:ascii="仿宋_GB2312" w:eastAsia="仿宋_GB2312" w:cs="仿宋_GB2312" w:hint="eastAsia"/>
          <w:sz w:val="30"/>
          <w:szCs w:val="30"/>
        </w:rPr>
        <w:t>万吨；晚稻平均单产达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5</w:t>
      </w:r>
      <w:r w:rsidRPr="006A580C">
        <w:rPr>
          <w:rFonts w:ascii="仿宋_GB2312" w:eastAsia="仿宋_GB2312" w:cs="仿宋_GB2312" w:hint="eastAsia"/>
          <w:sz w:val="30"/>
          <w:szCs w:val="30"/>
        </w:rPr>
        <w:t>37.6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公斤</w:t>
      </w:r>
      <w:r w:rsidRPr="006A580C">
        <w:rPr>
          <w:rFonts w:ascii="仿宋_GB2312" w:eastAsia="仿宋_GB2312" w:cs="仿宋_GB2312" w:hint="eastAsia"/>
          <w:sz w:val="30"/>
          <w:szCs w:val="30"/>
        </w:rPr>
        <w:t>，比全县平均增产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83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公斤</w:t>
      </w:r>
      <w:r w:rsidRPr="006A580C">
        <w:rPr>
          <w:rFonts w:ascii="仿宋_GB2312" w:eastAsia="仿宋_GB2312" w:cs="仿宋_GB2312" w:hint="eastAsia"/>
          <w:sz w:val="30"/>
          <w:szCs w:val="30"/>
        </w:rPr>
        <w:t>，增产稻谷0.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43</w:t>
      </w:r>
      <w:r w:rsidRPr="006A580C">
        <w:rPr>
          <w:rFonts w:ascii="仿宋_GB2312" w:eastAsia="仿宋_GB2312" w:cs="仿宋_GB2312" w:hint="eastAsia"/>
          <w:sz w:val="30"/>
          <w:szCs w:val="30"/>
        </w:rPr>
        <w:t>万吨；创建区增产稻谷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0.78</w:t>
      </w:r>
      <w:r w:rsidRPr="006A580C">
        <w:rPr>
          <w:rFonts w:ascii="仿宋_GB2312" w:eastAsia="仿宋_GB2312" w:cs="仿宋_GB2312" w:hint="eastAsia"/>
          <w:sz w:val="30"/>
          <w:szCs w:val="30"/>
        </w:rPr>
        <w:t>万吨。2、农民增收。经测算，创建区增产稻谷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0.78</w:t>
      </w:r>
      <w:r w:rsidRPr="006A580C">
        <w:rPr>
          <w:rFonts w:ascii="仿宋_GB2312" w:eastAsia="仿宋_GB2312" w:cs="仿宋_GB2312" w:hint="eastAsia"/>
          <w:sz w:val="30"/>
          <w:szCs w:val="30"/>
        </w:rPr>
        <w:t>万吨。增产效益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2418</w:t>
      </w:r>
      <w:r w:rsidRPr="006A580C">
        <w:rPr>
          <w:rFonts w:ascii="仿宋_GB2312" w:eastAsia="仿宋_GB2312" w:cs="仿宋_GB2312" w:hint="eastAsia"/>
          <w:sz w:val="30"/>
          <w:szCs w:val="30"/>
        </w:rPr>
        <w:t>万元；全县由于高档优质稻品种“桃优香占、桃湘优188”等，收购价</w:t>
      </w:r>
      <w:r w:rsidRPr="006A580C">
        <w:rPr>
          <w:rFonts w:ascii="仿宋_GB2312" w:eastAsia="仿宋_GB2312" w:cs="仿宋_GB2312" w:hint="eastAsia"/>
          <w:sz w:val="30"/>
          <w:szCs w:val="30"/>
        </w:rPr>
        <w:lastRenderedPageBreak/>
        <w:t>格比其它品种高</w:t>
      </w:r>
      <w:r w:rsidRPr="006A580C">
        <w:rPr>
          <w:rFonts w:ascii="仿宋_GB2312" w:eastAsia="仿宋_GB2312" w:cs="仿宋_GB2312"/>
          <w:sz w:val="30"/>
          <w:szCs w:val="30"/>
        </w:rPr>
        <w:t>1</w:t>
      </w:r>
      <w:r w:rsidRPr="006A580C">
        <w:rPr>
          <w:rFonts w:ascii="仿宋_GB2312" w:eastAsia="仿宋_GB2312" w:cs="仿宋_GB2312" w:hint="eastAsia"/>
          <w:sz w:val="30"/>
          <w:szCs w:val="30"/>
        </w:rPr>
        <w:t>0</w:t>
      </w:r>
      <w:r w:rsidRPr="006A580C">
        <w:rPr>
          <w:rFonts w:ascii="仿宋_GB2312" w:eastAsia="仿宋_GB2312" w:cs="仿宋_GB2312"/>
          <w:sz w:val="30"/>
          <w:szCs w:val="30"/>
        </w:rPr>
        <w:t>-</w:t>
      </w:r>
      <w:r w:rsidRPr="006A580C">
        <w:rPr>
          <w:rFonts w:ascii="仿宋_GB2312" w:eastAsia="仿宋_GB2312" w:cs="仿宋_GB2312" w:hint="eastAsia"/>
          <w:sz w:val="30"/>
          <w:szCs w:val="30"/>
        </w:rPr>
        <w:t>2</w:t>
      </w:r>
      <w:r w:rsidRPr="006A580C">
        <w:rPr>
          <w:rFonts w:ascii="仿宋_GB2312" w:eastAsia="仿宋_GB2312" w:cs="仿宋_GB2312"/>
          <w:sz w:val="30"/>
          <w:szCs w:val="30"/>
        </w:rPr>
        <w:t>0</w:t>
      </w:r>
      <w:r w:rsidRPr="006A580C">
        <w:rPr>
          <w:rFonts w:ascii="仿宋_GB2312" w:eastAsia="仿宋_GB2312" w:cs="仿宋_GB2312" w:hint="eastAsia"/>
          <w:sz w:val="30"/>
          <w:szCs w:val="30"/>
        </w:rPr>
        <w:t>元</w:t>
      </w:r>
      <w:r w:rsidRPr="006A580C">
        <w:rPr>
          <w:rFonts w:ascii="仿宋_GB2312" w:eastAsia="仿宋_GB2312" w:cs="仿宋_GB2312"/>
          <w:sz w:val="30"/>
          <w:szCs w:val="30"/>
        </w:rPr>
        <w:t>/</w:t>
      </w:r>
      <w:r w:rsidRPr="006A580C">
        <w:rPr>
          <w:rFonts w:ascii="仿宋_GB2312" w:eastAsia="仿宋_GB2312" w:cs="仿宋_GB2312" w:hint="eastAsia"/>
          <w:sz w:val="30"/>
          <w:szCs w:val="30"/>
        </w:rPr>
        <w:t>百斤，按每亩增效15</w:t>
      </w:r>
      <w:r w:rsidRPr="006A580C">
        <w:rPr>
          <w:rFonts w:ascii="仿宋_GB2312" w:eastAsia="仿宋_GB2312" w:cs="仿宋_GB2312"/>
          <w:sz w:val="30"/>
          <w:szCs w:val="30"/>
        </w:rPr>
        <w:t>0</w:t>
      </w:r>
      <w:r w:rsidRPr="006A580C">
        <w:rPr>
          <w:rFonts w:ascii="仿宋_GB2312" w:eastAsia="仿宋_GB2312" w:cs="仿宋_GB2312" w:hint="eastAsia"/>
          <w:sz w:val="30"/>
          <w:szCs w:val="30"/>
        </w:rPr>
        <w:t>元计算，全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县</w:t>
      </w:r>
      <w:r w:rsidRPr="006A580C">
        <w:rPr>
          <w:rFonts w:ascii="仿宋_GB2312" w:eastAsia="仿宋_GB2312" w:cs="仿宋_GB2312" w:hint="eastAsia"/>
          <w:sz w:val="30"/>
          <w:szCs w:val="30"/>
        </w:rPr>
        <w:t>累计增收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8640</w:t>
      </w:r>
      <w:r w:rsidRPr="006A580C">
        <w:rPr>
          <w:rFonts w:ascii="仿宋_GB2312" w:eastAsia="仿宋_GB2312" w:cs="仿宋_GB2312" w:hint="eastAsia"/>
          <w:sz w:val="30"/>
          <w:szCs w:val="30"/>
        </w:rPr>
        <w:t>万元</w:t>
      </w:r>
      <w:r w:rsidR="00D735C0" w:rsidRPr="006A580C">
        <w:rPr>
          <w:rFonts w:ascii="仿宋_GB2312" w:eastAsia="仿宋_GB2312" w:cs="仿宋_GB2312" w:hint="eastAsia"/>
          <w:sz w:val="30"/>
          <w:szCs w:val="30"/>
        </w:rPr>
        <w:t>；</w:t>
      </w:r>
      <w:r w:rsidRPr="006A580C">
        <w:rPr>
          <w:rFonts w:ascii="仿宋_GB2312" w:eastAsia="仿宋_GB2312" w:cs="仿宋_GB2312" w:hint="eastAsia"/>
          <w:sz w:val="30"/>
          <w:szCs w:val="30"/>
        </w:rPr>
        <w:t>两项合计为农民增收1.15亿元；创建区平均每亩增收400元以上。3、企业增效。经测算，全县</w:t>
      </w:r>
      <w:r w:rsidR="00961B42" w:rsidRPr="006A580C">
        <w:rPr>
          <w:rFonts w:ascii="仿宋_GB2312" w:eastAsia="仿宋_GB2312" w:cs="仿宋_GB2312" w:hint="eastAsia"/>
          <w:sz w:val="30"/>
          <w:szCs w:val="30"/>
        </w:rPr>
        <w:t>57.6</w:t>
      </w:r>
      <w:r w:rsidRPr="006A580C">
        <w:rPr>
          <w:rFonts w:ascii="仿宋_GB2312" w:eastAsia="仿宋_GB2312" w:cs="仿宋_GB2312" w:hint="eastAsia"/>
          <w:sz w:val="30"/>
          <w:szCs w:val="30"/>
        </w:rPr>
        <w:t>万亩高档优质稻预计产原粮25万吨，按每吨为企业增效10</w:t>
      </w:r>
      <w:r w:rsidRPr="006A580C">
        <w:rPr>
          <w:rFonts w:ascii="仿宋_GB2312" w:eastAsia="仿宋_GB2312" w:cs="仿宋_GB2312"/>
          <w:sz w:val="30"/>
          <w:szCs w:val="30"/>
        </w:rPr>
        <w:t>00</w:t>
      </w:r>
      <w:r w:rsidRPr="006A580C">
        <w:rPr>
          <w:rFonts w:ascii="仿宋_GB2312" w:eastAsia="仿宋_GB2312" w:cs="仿宋_GB2312" w:hint="eastAsia"/>
          <w:sz w:val="30"/>
          <w:szCs w:val="30"/>
        </w:rPr>
        <w:t>元计算，可为企业增效2.5亿元。4、生态效益明显。创建区采用绿色生产技术，推广专业化统防统治和绿色防控技术，可减少化学农药用量20-30%。推广秸秆还田，推广绿肥种植，推广测土配方施肥技术，提高了化肥利用率，减少了化肥施用量。切实减少了农业面源污染，生态环保效益凸显。</w:t>
      </w:r>
    </w:p>
    <w:p w:rsidR="005132F0" w:rsidRPr="006A580C" w:rsidRDefault="005132F0" w:rsidP="006A580C">
      <w:pPr>
        <w:ind w:firstLineChars="200" w:firstLine="640"/>
        <w:rPr>
          <w:rFonts w:ascii="黑体" w:eastAsia="黑体" w:cs="黑体"/>
          <w:sz w:val="32"/>
          <w:szCs w:val="32"/>
        </w:rPr>
      </w:pPr>
      <w:r w:rsidRPr="006A580C">
        <w:rPr>
          <w:rFonts w:ascii="黑体" w:eastAsia="黑体" w:cs="黑体" w:hint="eastAsia"/>
          <w:sz w:val="32"/>
          <w:szCs w:val="32"/>
        </w:rPr>
        <w:t>三、存在的问题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（一）专项管理方面的问题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申报每个项目前都进行了严格的可行性研究，立项依据充分可靠。制定了科学规范的资金管理办法，除个别资金较少的项目外，大部分项目的资金都做到了专账管理，同时建立了项目台账和资金台账。所有项目资金都做到了专款专用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（二）资金分配方面的问题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全部项目资金完全按照资金用途专款专用，严格按照资金管理办法分配和使用资金，坚持突出重点和公平公正的原则，没有产生散少差现象。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（三）资金拨付方面的问题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资金拨付及时、有序，没有产生资金滞留、闲置现象。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（四）资金使用方面的问题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lastRenderedPageBreak/>
        <w:t>坚持按规定使用项目资金，没有产生截留、挪用和滥用现象。资金使用的社会效益、经济效益和生态效益显著。</w:t>
      </w:r>
    </w:p>
    <w:p w:rsidR="005132F0" w:rsidRPr="006A580C" w:rsidRDefault="005132F0" w:rsidP="006A580C">
      <w:pPr>
        <w:ind w:firstLineChars="200" w:firstLine="640"/>
        <w:rPr>
          <w:rFonts w:ascii="黑体" w:eastAsia="黑体" w:cs="黑体"/>
          <w:sz w:val="32"/>
          <w:szCs w:val="32"/>
        </w:rPr>
      </w:pPr>
      <w:r w:rsidRPr="006A580C">
        <w:rPr>
          <w:rFonts w:ascii="黑体" w:eastAsia="黑体" w:cs="黑体" w:hint="eastAsia"/>
          <w:sz w:val="32"/>
          <w:szCs w:val="32"/>
        </w:rPr>
        <w:t>四、有关建议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（一）扩大项目规模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适度加大项目规模，增加项目资金额度，从而增强项目建设的示范带动作用。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（二）提早规划项目和拨付资金</w:t>
      </w:r>
    </w:p>
    <w:p w:rsidR="005132F0" w:rsidRPr="006A580C" w:rsidRDefault="005132F0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6A580C">
        <w:rPr>
          <w:rFonts w:ascii="仿宋_GB2312" w:eastAsia="仿宋_GB2312" w:cs="仿宋_GB2312" w:hint="eastAsia"/>
          <w:sz w:val="30"/>
          <w:szCs w:val="30"/>
        </w:rPr>
        <w:t>农业生产的季节性极强，农业项目的实施也必须不误农时，因此，立项和资金下达的时间应当提前。</w:t>
      </w:r>
    </w:p>
    <w:p w:rsidR="00706FCF" w:rsidRPr="006A580C" w:rsidRDefault="00706FCF" w:rsidP="006A580C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</w:p>
    <w:sectPr w:rsidR="00706FCF" w:rsidRPr="006A580C" w:rsidSect="00AD3B5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CE" w:rsidRDefault="00464CCE" w:rsidP="00AD3B57">
      <w:r>
        <w:separator/>
      </w:r>
    </w:p>
  </w:endnote>
  <w:endnote w:type="continuationSeparator" w:id="1">
    <w:p w:rsidR="00464CCE" w:rsidRDefault="00464CCE" w:rsidP="00AD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05" w:rsidRDefault="00810AC0">
    <w:pPr>
      <w:pStyle w:val="a5"/>
      <w:framePr w:wrap="auto" w:vAnchor="text" w:hAnchor="margin" w:xAlign="right" w:y="2"/>
      <w:rPr>
        <w:rStyle w:val="a3"/>
      </w:rPr>
    </w:pPr>
    <w:r>
      <w:rPr>
        <w:rStyle w:val="a3"/>
      </w:rPr>
      <w:fldChar w:fldCharType="begin"/>
    </w:r>
    <w:r w:rsidR="005132F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49B6">
      <w:rPr>
        <w:rStyle w:val="a3"/>
        <w:noProof/>
      </w:rPr>
      <w:t>6</w:t>
    </w:r>
    <w:r>
      <w:rPr>
        <w:rStyle w:val="a3"/>
      </w:rPr>
      <w:fldChar w:fldCharType="end"/>
    </w:r>
  </w:p>
  <w:p w:rsidR="00464405" w:rsidRDefault="00464CCE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CE" w:rsidRDefault="00464CCE" w:rsidP="00AD3B57">
      <w:r>
        <w:separator/>
      </w:r>
    </w:p>
  </w:footnote>
  <w:footnote w:type="continuationSeparator" w:id="1">
    <w:p w:rsidR="00464CCE" w:rsidRDefault="00464CCE" w:rsidP="00AD3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05" w:rsidRDefault="00464CCE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2F0"/>
    <w:rsid w:val="00113190"/>
    <w:rsid w:val="001544C8"/>
    <w:rsid w:val="002368DC"/>
    <w:rsid w:val="002B7DE4"/>
    <w:rsid w:val="00464CCE"/>
    <w:rsid w:val="00506E03"/>
    <w:rsid w:val="005132F0"/>
    <w:rsid w:val="00565647"/>
    <w:rsid w:val="005A49B6"/>
    <w:rsid w:val="00672FA8"/>
    <w:rsid w:val="006A580C"/>
    <w:rsid w:val="006D3781"/>
    <w:rsid w:val="00706FCF"/>
    <w:rsid w:val="007172D8"/>
    <w:rsid w:val="00810AC0"/>
    <w:rsid w:val="00961B42"/>
    <w:rsid w:val="009741A0"/>
    <w:rsid w:val="00AC30A2"/>
    <w:rsid w:val="00AD3B57"/>
    <w:rsid w:val="00B61F31"/>
    <w:rsid w:val="00D735C0"/>
    <w:rsid w:val="00E3394F"/>
    <w:rsid w:val="00EF66AB"/>
    <w:rsid w:val="00F0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F0"/>
    <w:pPr>
      <w:widowControl w:val="0"/>
      <w:jc w:val="both"/>
    </w:pPr>
    <w:rPr>
      <w:rFonts w:ascii="Times New Roman" w:eastAsia="宋体" w:hAnsi="Times New Roman" w:cs="宋体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2B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132F0"/>
    <w:rPr>
      <w:rFonts w:cs="Times New Roman"/>
    </w:rPr>
  </w:style>
  <w:style w:type="paragraph" w:styleId="a4">
    <w:name w:val="header"/>
    <w:basedOn w:val="a"/>
    <w:link w:val="Char"/>
    <w:uiPriority w:val="99"/>
    <w:unhideWhenUsed/>
    <w:rsid w:val="0051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2F0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2F0"/>
    <w:rPr>
      <w:rFonts w:ascii="Times New Roman" w:eastAsia="宋体" w:hAnsi="Times New Roman" w:cs="宋体"/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uiPriority w:val="99"/>
    <w:unhideWhenUsed/>
    <w:rsid w:val="005132F0"/>
    <w:pPr>
      <w:widowControl/>
      <w:adjustRightInd w:val="0"/>
      <w:snapToGrid w:val="0"/>
      <w:spacing w:after="160" w:line="240" w:lineRule="exact"/>
      <w:ind w:firstLineChars="200" w:firstLine="200"/>
      <w:jc w:val="left"/>
    </w:pPr>
    <w:rPr>
      <w:rFonts w:ascii="Arial" w:cs="Arial"/>
      <w:b/>
      <w:bCs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9"/>
    <w:rsid w:val="00F02B31"/>
    <w:rPr>
      <w:rFonts w:ascii="Times New Roman" w:eastAsia="宋体" w:hAnsi="Times New Roman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527</Words>
  <Characters>3007</Characters>
  <Application>Microsoft Office Word</Application>
  <DocSecurity>0</DocSecurity>
  <Lines>25</Lines>
  <Paragraphs>7</Paragraphs>
  <ScaleCrop>false</ScaleCrop>
  <Company>微软中国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dcterms:created xsi:type="dcterms:W3CDTF">2022-03-10T08:00:00Z</dcterms:created>
  <dcterms:modified xsi:type="dcterms:W3CDTF">2022-03-11T01:38:00Z</dcterms:modified>
</cp:coreProperties>
</file>