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60" w:lineRule="exact"/>
        <w:ind w:right="0" w:rightChars="0" w:firstLine="560" w:firstLineChars="200"/>
        <w:textAlignment w:val="auto"/>
        <w:rPr>
          <w:rFonts w:ascii="黑体" w:hAnsi="黑体" w:eastAsia="黑体"/>
          <w:b w:val="0"/>
          <w:bCs w:val="0"/>
          <w:color w:val="000000"/>
          <w:sz w:val="28"/>
          <w:szCs w:val="28"/>
        </w:rPr>
      </w:pPr>
      <w:r>
        <w:rPr>
          <w:rFonts w:hint="eastAsia" w:ascii="黑体" w:hAnsi="黑体" w:eastAsia="黑体"/>
          <w:b w:val="0"/>
          <w:bCs w:val="0"/>
          <w:color w:val="000000"/>
          <w:sz w:val="28"/>
          <w:szCs w:val="28"/>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720" w:firstLineChars="200"/>
        <w:jc w:val="center"/>
        <w:textAlignment w:val="auto"/>
        <w:rPr>
          <w:rFonts w:hint="eastAsia" w:ascii="黑体" w:hAnsi="黑体" w:eastAsia="黑体"/>
          <w:b w:val="0"/>
          <w:bCs w:val="0"/>
          <w:color w:val="000000"/>
        </w:rPr>
      </w:pPr>
      <w:bookmarkStart w:id="0" w:name="_GoBack"/>
      <w:r>
        <w:rPr>
          <w:rFonts w:hint="eastAsia" w:ascii="黑体" w:hAnsi="黑体" w:eastAsia="黑体"/>
          <w:b w:val="0"/>
          <w:bCs w:val="0"/>
          <w:color w:val="000000"/>
          <w:sz w:val="36"/>
          <w:szCs w:val="36"/>
        </w:rPr>
        <w:t>202</w:t>
      </w:r>
      <w:r>
        <w:rPr>
          <w:rFonts w:hint="eastAsia" w:ascii="黑体" w:hAnsi="黑体" w:eastAsia="黑体"/>
          <w:b w:val="0"/>
          <w:bCs w:val="0"/>
          <w:color w:val="000000"/>
          <w:sz w:val="36"/>
          <w:szCs w:val="36"/>
          <w:lang w:val="en-US" w:eastAsia="zh-CN"/>
        </w:rPr>
        <w:t>1</w:t>
      </w:r>
      <w:r>
        <w:rPr>
          <w:rFonts w:hint="eastAsia" w:ascii="黑体" w:hAnsi="黑体" w:eastAsia="黑体"/>
          <w:b w:val="0"/>
          <w:bCs w:val="0"/>
          <w:color w:val="000000"/>
          <w:sz w:val="36"/>
          <w:szCs w:val="36"/>
        </w:rPr>
        <w:t>年部门整体支出绩效自评指标计分表</w:t>
      </w:r>
    </w:p>
    <w:bookmarkEnd w:id="0"/>
    <w:tbl>
      <w:tblPr>
        <w:tblStyle w:val="4"/>
        <w:tblW w:w="11218" w:type="dxa"/>
        <w:jc w:val="center"/>
        <w:tblLayout w:type="fixed"/>
        <w:tblCellMar>
          <w:top w:w="0" w:type="dxa"/>
          <w:left w:w="0" w:type="dxa"/>
          <w:bottom w:w="0" w:type="dxa"/>
          <w:right w:w="0" w:type="dxa"/>
        </w:tblCellMar>
      </w:tblPr>
      <w:tblGrid>
        <w:gridCol w:w="898"/>
        <w:gridCol w:w="932"/>
        <w:gridCol w:w="975"/>
        <w:gridCol w:w="590"/>
        <w:gridCol w:w="2817"/>
        <w:gridCol w:w="5006"/>
      </w:tblGrid>
      <w:tr>
        <w:tblPrEx>
          <w:tblCellMar>
            <w:top w:w="0" w:type="dxa"/>
            <w:left w:w="0" w:type="dxa"/>
            <w:bottom w:w="0" w:type="dxa"/>
            <w:right w:w="0" w:type="dxa"/>
          </w:tblCellMar>
        </w:tblPrEx>
        <w:trPr>
          <w:trHeight w:val="664" w:hRule="exact"/>
          <w:jc w:val="center"/>
        </w:trPr>
        <w:tc>
          <w:tcPr>
            <w:tcW w:w="89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b w:val="0"/>
                <w:bCs w:val="0"/>
                <w:color w:val="000000"/>
              </w:rPr>
            </w:pPr>
            <w:r>
              <w:rPr>
                <w:rFonts w:hint="eastAsia" w:ascii="黑体" w:hAnsi="黑体" w:eastAsia="黑体"/>
                <w:b w:val="0"/>
                <w:bCs w:val="0"/>
                <w:color w:val="000000"/>
              </w:rPr>
              <w:t>一级指标</w:t>
            </w:r>
          </w:p>
        </w:tc>
        <w:tc>
          <w:tcPr>
            <w:tcW w:w="93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b w:val="0"/>
                <w:bCs w:val="0"/>
                <w:color w:val="000000"/>
              </w:rPr>
            </w:pPr>
            <w:r>
              <w:rPr>
                <w:rFonts w:hint="eastAsia" w:ascii="黑体" w:hAnsi="黑体" w:eastAsia="黑体"/>
                <w:b w:val="0"/>
                <w:bCs w:val="0"/>
                <w:color w:val="000000"/>
              </w:rPr>
              <w:t>二级指标</w:t>
            </w: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b w:val="0"/>
                <w:bCs w:val="0"/>
                <w:color w:val="000000"/>
              </w:rPr>
            </w:pPr>
            <w:r>
              <w:rPr>
                <w:rFonts w:hint="eastAsia" w:ascii="黑体" w:hAnsi="黑体" w:eastAsia="黑体"/>
                <w:b w:val="0"/>
                <w:bCs w:val="0"/>
                <w:color w:val="000000"/>
              </w:rPr>
              <w:t>三级指标</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b w:val="0"/>
                <w:bCs w:val="0"/>
                <w:color w:val="000000"/>
              </w:rPr>
            </w:pPr>
            <w:r>
              <w:rPr>
                <w:rFonts w:hint="eastAsia" w:ascii="黑体" w:hAnsi="黑体" w:eastAsia="黑体"/>
                <w:b w:val="0"/>
                <w:bCs w:val="0"/>
                <w:color w:val="000000"/>
              </w:rPr>
              <w:t>自评分</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firstLine="420" w:firstLineChars="200"/>
              <w:jc w:val="both"/>
              <w:textAlignment w:val="auto"/>
              <w:rPr>
                <w:rFonts w:hint="eastAsia" w:ascii="黑体" w:hAnsi="黑体" w:eastAsia="黑体"/>
                <w:b w:val="0"/>
                <w:bCs w:val="0"/>
                <w:color w:val="000000"/>
              </w:rPr>
            </w:pPr>
            <w:r>
              <w:rPr>
                <w:rFonts w:hint="eastAsia" w:ascii="黑体" w:hAnsi="黑体" w:eastAsia="黑体"/>
                <w:b w:val="0"/>
                <w:bCs w:val="0"/>
                <w:color w:val="000000"/>
              </w:rPr>
              <w:t>指标解释</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firstLine="420" w:firstLineChars="200"/>
              <w:jc w:val="both"/>
              <w:textAlignment w:val="auto"/>
              <w:rPr>
                <w:rFonts w:hint="eastAsia" w:ascii="黑体" w:hAnsi="黑体" w:eastAsia="黑体"/>
                <w:b w:val="0"/>
                <w:bCs w:val="0"/>
                <w:color w:val="000000"/>
              </w:rPr>
            </w:pPr>
            <w:r>
              <w:rPr>
                <w:rFonts w:hint="eastAsia" w:ascii="黑体" w:hAnsi="黑体" w:eastAsia="黑体"/>
                <w:b w:val="0"/>
                <w:bCs w:val="0"/>
                <w:color w:val="000000"/>
              </w:rPr>
              <w:t>指标说明</w:t>
            </w:r>
          </w:p>
        </w:tc>
      </w:tr>
      <w:tr>
        <w:tblPrEx>
          <w:tblCellMar>
            <w:top w:w="0" w:type="dxa"/>
            <w:left w:w="0" w:type="dxa"/>
            <w:bottom w:w="0" w:type="dxa"/>
            <w:right w:w="0" w:type="dxa"/>
          </w:tblCellMar>
        </w:tblPrEx>
        <w:trPr>
          <w:trHeight w:val="1496" w:hRule="exact"/>
          <w:jc w:val="center"/>
        </w:trPr>
        <w:tc>
          <w:tcPr>
            <w:tcW w:w="89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宋体"/>
                <w:b w:val="0"/>
                <w:bCs w:val="0"/>
                <w:color w:val="000000"/>
              </w:rPr>
            </w:pPr>
            <w:r>
              <w:rPr>
                <w:rFonts w:hint="eastAsia" w:ascii="仿宋_GB2312" w:hAnsi="宋体"/>
                <w:b w:val="0"/>
                <w:bCs w:val="0"/>
                <w:color w:val="000000"/>
              </w:rPr>
              <w:t>投入</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宋体"/>
                <w:b w:val="0"/>
                <w:bCs w:val="0"/>
                <w:color w:val="000000"/>
              </w:rPr>
            </w:pPr>
            <w:r>
              <w:rPr>
                <w:rFonts w:hint="eastAsia" w:ascii="仿宋_GB2312" w:hAnsi="宋体"/>
                <w:b w:val="0"/>
                <w:bCs w:val="0"/>
                <w:color w:val="000000"/>
              </w:rPr>
              <w:t>（</w:t>
            </w:r>
            <w:r>
              <w:rPr>
                <w:rFonts w:hint="eastAsia" w:ascii="仿宋_GB2312" w:hAnsi="宋体" w:eastAsia="仿宋_GB2312"/>
                <w:b w:val="0"/>
                <w:bCs w:val="0"/>
                <w:color w:val="000000"/>
              </w:rPr>
              <w:t>20</w:t>
            </w:r>
            <w:r>
              <w:rPr>
                <w:rFonts w:hint="eastAsia" w:ascii="宋体" w:hAnsi="宋体"/>
                <w:b w:val="0"/>
                <w:bCs w:val="0"/>
                <w:color w:val="000000"/>
              </w:rPr>
              <w:t>分）</w:t>
            </w:r>
          </w:p>
        </w:tc>
        <w:tc>
          <w:tcPr>
            <w:tcW w:w="9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color w:val="000000"/>
                <w:sz w:val="18"/>
                <w:szCs w:val="18"/>
              </w:rPr>
            </w:pPr>
            <w:r>
              <w:rPr>
                <w:rFonts w:hint="eastAsia" w:ascii="宋体" w:hAnsi="宋体"/>
                <w:b w:val="0"/>
                <w:bCs w:val="0"/>
                <w:color w:val="000000"/>
                <w:sz w:val="18"/>
                <w:szCs w:val="18"/>
              </w:rPr>
              <w:t>目标设定</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color w:val="000000"/>
                <w:sz w:val="18"/>
                <w:szCs w:val="18"/>
              </w:rPr>
            </w:pPr>
            <w:r>
              <w:rPr>
                <w:rFonts w:hint="eastAsia" w:ascii="宋体" w:hAnsi="宋体"/>
                <w:b w:val="0"/>
                <w:bCs w:val="0"/>
                <w:color w:val="000000"/>
                <w:sz w:val="18"/>
                <w:szCs w:val="18"/>
              </w:rPr>
              <w:t>（5分）</w:t>
            </w: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绩效目标合理性（2分）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部门所设立的整体绩效目标依据是否充分，是否符合客观实际，用以反映和考核部门整体绩效目标与部门履职、年度工作任务的相符性情况。</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385"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ascii="宋体"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绩效指标明确性（3分）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360" w:firstLineChars="200"/>
              <w:jc w:val="both"/>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3</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部门依据整体绩效目标所设定的绩效指标是否清晰、细化、可衡量，用以反映和考核部门整体绩效目标的明细化情况。</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333"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ascii="仿宋_GB2312" w:hAnsi="宋体"/>
                <w:b w:val="0"/>
                <w:bCs w:val="0"/>
                <w:color w:val="000000"/>
              </w:rPr>
            </w:pPr>
          </w:p>
        </w:tc>
        <w:tc>
          <w:tcPr>
            <w:tcW w:w="9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color w:val="000000"/>
                <w:sz w:val="18"/>
                <w:szCs w:val="18"/>
              </w:rPr>
            </w:pPr>
            <w:r>
              <w:rPr>
                <w:rFonts w:hint="eastAsia" w:ascii="宋体" w:hAnsi="宋体"/>
                <w:b w:val="0"/>
                <w:bCs w:val="0"/>
                <w:color w:val="000000"/>
                <w:sz w:val="18"/>
                <w:szCs w:val="18"/>
              </w:rPr>
              <w:t>预算配置</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color w:val="000000"/>
                <w:sz w:val="18"/>
                <w:szCs w:val="18"/>
              </w:rPr>
            </w:pPr>
            <w:r>
              <w:rPr>
                <w:rFonts w:hint="eastAsia" w:ascii="宋体" w:hAnsi="宋体"/>
                <w:b w:val="0"/>
                <w:bCs w:val="0"/>
                <w:color w:val="000000"/>
                <w:sz w:val="18"/>
                <w:szCs w:val="18"/>
              </w:rPr>
              <w:t>（15分）</w:t>
            </w: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在职人员控制率（5分）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5</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部门本年度实际在职人员数与编制数的比率，用以反映和考核部门对人员成本的控制程度。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504"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ascii="宋体"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“三公经费”变动率（5分）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4</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部门本年度“三公经费”预算数与上年度“三公经费”预算数的变动比率，用以反映和考核部门对控制重点行政成本的努力程度。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58"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ascii="宋体"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重点支出安排率（5分）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5</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部门本年度预算安排的重点项目支出与部门项目总支出的比率，用以反映和考核部门对履行主要职责或完成重点任务的保障程度。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03" w:hRule="exact"/>
          <w:jc w:val="center"/>
        </w:trPr>
        <w:tc>
          <w:tcPr>
            <w:tcW w:w="89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宋体"/>
                <w:b w:val="0"/>
                <w:bCs w:val="0"/>
                <w:color w:val="000000"/>
              </w:rPr>
            </w:pPr>
            <w:r>
              <w:rPr>
                <w:rFonts w:hint="eastAsia" w:ascii="仿宋_GB2312" w:hAnsi="宋体"/>
                <w:b w:val="0"/>
                <w:bCs w:val="0"/>
                <w:color w:val="000000"/>
              </w:rPr>
              <w:t>过 程</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宋体"/>
                <w:b w:val="0"/>
                <w:bCs w:val="0"/>
                <w:color w:val="000000"/>
              </w:rPr>
            </w:pPr>
            <w:r>
              <w:rPr>
                <w:rFonts w:hint="eastAsia" w:ascii="仿宋_GB2312" w:hAnsi="宋体"/>
                <w:b w:val="0"/>
                <w:bCs w:val="0"/>
                <w:color w:val="000000"/>
              </w:rPr>
              <w:t>（</w:t>
            </w:r>
            <w:r>
              <w:rPr>
                <w:rFonts w:hint="eastAsia" w:ascii="仿宋_GB2312" w:hAnsi="宋体" w:eastAsia="仿宋_GB2312"/>
                <w:b w:val="0"/>
                <w:bCs w:val="0"/>
                <w:color w:val="000000"/>
              </w:rPr>
              <w:t>30</w:t>
            </w:r>
            <w:r>
              <w:rPr>
                <w:rFonts w:hint="eastAsia" w:ascii="宋体" w:hAnsi="宋体"/>
                <w:b w:val="0"/>
                <w:bCs w:val="0"/>
                <w:color w:val="000000"/>
              </w:rPr>
              <w:t>分）</w:t>
            </w:r>
          </w:p>
        </w:tc>
        <w:tc>
          <w:tcPr>
            <w:tcW w:w="9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color w:val="000000"/>
                <w:sz w:val="18"/>
                <w:szCs w:val="18"/>
              </w:rPr>
            </w:pPr>
            <w:r>
              <w:rPr>
                <w:rFonts w:hint="eastAsia" w:ascii="宋体" w:hAnsi="宋体"/>
                <w:b w:val="0"/>
                <w:bCs w:val="0"/>
                <w:color w:val="000000"/>
                <w:sz w:val="18"/>
                <w:szCs w:val="18"/>
              </w:rPr>
              <w:t>预算执行</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宋体" w:hAnsi="宋体"/>
                <w:b w:val="0"/>
                <w:bCs w:val="0"/>
                <w:color w:val="000000"/>
                <w:sz w:val="18"/>
                <w:szCs w:val="18"/>
              </w:rPr>
            </w:pPr>
            <w:r>
              <w:rPr>
                <w:rFonts w:hint="eastAsia" w:ascii="宋体" w:hAnsi="宋体"/>
                <w:b w:val="0"/>
                <w:bCs w:val="0"/>
                <w:color w:val="000000"/>
                <w:sz w:val="18"/>
                <w:szCs w:val="18"/>
              </w:rPr>
              <w:t>（20分）</w:t>
            </w: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预算完成率</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（4分）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4</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部门本年度预算完成数与预算数的比率，用以反映和考核部门预算完成程度。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661"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宋体"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预算调整率</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（2分）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部门本年度预算调整数与预算数的比率，用以反映和考核部门预算的调整程度。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833"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宋体"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支付进度率</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（2分）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部门实际支付进度与既定支付进度的比率，用以反映和考核部门预算执行的及时性和均衡性程度。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443"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宋体"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结转结余控制率（4分）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3</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部门本年度结转结余总额与上年结转结余总额增减比例，用以反映和考核部门对存量资金的实际控制程度。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262"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宋体"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公用经费控制率（2分）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部门本年度实际支出的公用经费总额与预算安排的公用经费总额的比率，用以反映和考核部门对机构运转成本的实际控制程度。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225"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宋体"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“三公经费”控制率（2分）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部门本年度“三公经费”实际支出数与预算安排数的比率，用以反映和考核部门对“三公经费”的实际控制程度。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69"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宋体"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政府采购执行率（4分）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4</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部门本年度实际政府采购金额与年初政府采购预算的比率，用以反映和考核部门政府采购预算执行情况。</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530"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仿宋_GB2312" w:hAnsi="宋体"/>
                <w:b w:val="0"/>
                <w:bCs w:val="0"/>
                <w:color w:val="000000"/>
              </w:rPr>
            </w:pPr>
            <w:r>
              <w:rPr>
                <w:rFonts w:hint="eastAsia" w:ascii="仿宋_GB2312" w:hAnsi="宋体"/>
                <w:b w:val="0"/>
                <w:bCs w:val="0"/>
                <w:color w:val="000000"/>
              </w:rPr>
              <w:t>预算管理（</w:t>
            </w:r>
            <w:r>
              <w:rPr>
                <w:rFonts w:hint="eastAsia" w:ascii="仿宋_GB2312" w:hAnsi="宋体" w:eastAsia="仿宋_GB2312"/>
                <w:b w:val="0"/>
                <w:bCs w:val="0"/>
                <w:color w:val="000000"/>
              </w:rPr>
              <w:t>5</w:t>
            </w:r>
            <w:r>
              <w:rPr>
                <w:rFonts w:hint="eastAsia" w:ascii="宋体" w:hAnsi="宋体"/>
                <w:b w:val="0"/>
                <w:bCs w:val="0"/>
                <w:color w:val="000000"/>
              </w:rPr>
              <w:t>分）</w:t>
            </w: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管理制度健全性（2分）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部门为加强预算管理、规范财务行为而制定的管理制度是否健全完整，用以反映和考核部门预算管理制度对完成主要职责或促进事业发展的保障情况。</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515"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资金使用合规性（1分）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部门使用预算资金是否符合相关的预算财务管理制度的规定，用以反映和考核部门预算资金的规范运行情况。</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1381"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预决算信息公开性（1分）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部门是否按照政府信息公开有关规定公开相关预决算信息，用以反映和考核部门预决算管理的公开透明情况。</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1228"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基础信息完善性（1分）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部门基础信息是否完善，用以反映和考核基础信息对预算管理工作的支撑情况。</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853"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仿宋_GB2312" w:hAnsi="宋体"/>
                <w:b w:val="0"/>
                <w:bCs w:val="0"/>
                <w:color w:val="000000"/>
              </w:rPr>
            </w:pPr>
            <w:r>
              <w:rPr>
                <w:rFonts w:hint="eastAsia" w:ascii="仿宋_GB2312" w:hAnsi="宋体"/>
                <w:b w:val="0"/>
                <w:bCs w:val="0"/>
                <w:color w:val="000000"/>
              </w:rPr>
              <w:t>资产管理</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仿宋_GB2312" w:hAnsi="宋体"/>
                <w:b w:val="0"/>
                <w:bCs w:val="0"/>
                <w:color w:val="000000"/>
              </w:rPr>
            </w:pPr>
            <w:r>
              <w:rPr>
                <w:rFonts w:hint="eastAsia" w:ascii="仿宋_GB2312" w:hAnsi="宋体"/>
                <w:b w:val="0"/>
                <w:bCs w:val="0"/>
                <w:color w:val="000000"/>
              </w:rPr>
              <w:t>（</w:t>
            </w:r>
            <w:r>
              <w:rPr>
                <w:rFonts w:hint="eastAsia" w:ascii="仿宋_GB2312" w:hAnsi="宋体" w:eastAsia="仿宋_GB2312"/>
                <w:b w:val="0"/>
                <w:bCs w:val="0"/>
                <w:color w:val="000000"/>
              </w:rPr>
              <w:t>5</w:t>
            </w:r>
            <w:r>
              <w:rPr>
                <w:rFonts w:hint="eastAsia" w:ascii="宋体" w:hAnsi="宋体"/>
                <w:b w:val="0"/>
                <w:bCs w:val="0"/>
                <w:color w:val="000000"/>
              </w:rPr>
              <w:t>分）</w:t>
            </w: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管理制度健全性（2分）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部门为加强资产管理、规范资产管理行为而制定的管理制度是否健全完整，用以反映和考核部门资产管理制度对完成主要职责或促进社会发展的保障情况。</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551"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资产管理安全性（2分）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2</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部门的资产是否保存完整、使用合规、配置合理、处置规范、收入及时足额上缴，用以反映和考核部门资产安全运行情况。</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1316"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固定资产利用率（1分）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部门实际在用固定资产总额与所有固定资产总额的比率，用以反映和考核部门固定资产使用效率程度。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121" w:hRule="exact"/>
          <w:jc w:val="center"/>
        </w:trPr>
        <w:tc>
          <w:tcPr>
            <w:tcW w:w="89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宋体"/>
                <w:b w:val="0"/>
                <w:bCs w:val="0"/>
                <w:color w:val="000000"/>
              </w:rPr>
            </w:pPr>
            <w:r>
              <w:rPr>
                <w:rFonts w:hint="eastAsia" w:ascii="仿宋_GB2312" w:hAnsi="宋体"/>
                <w:b w:val="0"/>
                <w:bCs w:val="0"/>
                <w:color w:val="000000"/>
              </w:rPr>
              <w:t>产出</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宋体"/>
                <w:b w:val="0"/>
                <w:bCs w:val="0"/>
                <w:color w:val="000000"/>
              </w:rPr>
            </w:pPr>
            <w:r>
              <w:rPr>
                <w:rFonts w:hint="eastAsia" w:ascii="仿宋_GB2312" w:hAnsi="宋体"/>
                <w:b w:val="0"/>
                <w:bCs w:val="0"/>
                <w:color w:val="000000"/>
              </w:rPr>
              <w:t>（</w:t>
            </w:r>
            <w:r>
              <w:rPr>
                <w:rFonts w:hint="eastAsia" w:ascii="仿宋_GB2312" w:hAnsi="宋体" w:eastAsia="仿宋_GB2312"/>
                <w:b w:val="0"/>
                <w:bCs w:val="0"/>
                <w:color w:val="000000"/>
              </w:rPr>
              <w:t>30</w:t>
            </w:r>
            <w:r>
              <w:rPr>
                <w:rFonts w:hint="eastAsia" w:ascii="宋体" w:hAnsi="宋体"/>
                <w:b w:val="0"/>
                <w:bCs w:val="0"/>
                <w:color w:val="000000"/>
              </w:rPr>
              <w:t>分）</w:t>
            </w:r>
          </w:p>
        </w:tc>
        <w:tc>
          <w:tcPr>
            <w:tcW w:w="9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宋体"/>
                <w:b w:val="0"/>
                <w:bCs w:val="0"/>
                <w:color w:val="000000"/>
                <w:sz w:val="18"/>
                <w:szCs w:val="18"/>
              </w:rPr>
            </w:pPr>
            <w:r>
              <w:rPr>
                <w:rFonts w:hint="eastAsia" w:ascii="仿宋_GB2312" w:hAnsi="宋体"/>
                <w:b w:val="0"/>
                <w:bCs w:val="0"/>
                <w:color w:val="000000"/>
                <w:sz w:val="18"/>
                <w:szCs w:val="18"/>
              </w:rPr>
              <w:t>职责</w:t>
            </w:r>
            <w:r>
              <w:rPr>
                <w:rFonts w:hint="eastAsia" w:ascii="仿宋_GB2312" w:hAnsi="宋体"/>
                <w:b w:val="0"/>
                <w:bCs w:val="0"/>
                <w:color w:val="000000"/>
                <w:sz w:val="18"/>
                <w:szCs w:val="18"/>
              </w:rPr>
              <w:br w:type="textWrapping"/>
            </w:r>
            <w:r>
              <w:rPr>
                <w:rFonts w:hint="eastAsia" w:ascii="仿宋_GB2312" w:hAnsi="宋体"/>
                <w:b w:val="0"/>
                <w:bCs w:val="0"/>
                <w:color w:val="000000"/>
                <w:sz w:val="18"/>
                <w:szCs w:val="18"/>
              </w:rPr>
              <w:t>履行</w:t>
            </w: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实际完成率</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（8分）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8</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部门履行职责而实际完成工作数与计划工作数的比率，用以反映和考核部门履职工作任务目标的实现程度。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45"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仿宋_GB2312"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完成及时率</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（4分）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4</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部门在规定时限内及时完成的实际工作数与计划工作数的比率,用以反映和考核部门履职时效目标的实现程度。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956"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仿宋_GB2312"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质量达标率</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（8分）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8</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达到质量标准（绩效标准值）的实际工作数与计划工作数的比率,用以反映和考核部门履职质量目标的实现程度。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18"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center"/>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仿宋_GB2312"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重点工作办结率（10分）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10</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部门年度重点工作实际完成数与交办或下达数的比率，用以反映部门对重点工作的办理落实程度。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93" w:hRule="exact"/>
          <w:jc w:val="center"/>
        </w:trPr>
        <w:tc>
          <w:tcPr>
            <w:tcW w:w="89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宋体"/>
                <w:b w:val="0"/>
                <w:bCs w:val="0"/>
                <w:color w:val="000000"/>
              </w:rPr>
            </w:pPr>
            <w:r>
              <w:rPr>
                <w:rFonts w:hint="eastAsia" w:ascii="仿宋_GB2312" w:hAnsi="宋体"/>
                <w:b w:val="0"/>
                <w:bCs w:val="0"/>
                <w:color w:val="000000"/>
              </w:rPr>
              <w:t>效果</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宋体"/>
                <w:b w:val="0"/>
                <w:bCs w:val="0"/>
                <w:color w:val="000000"/>
              </w:rPr>
            </w:pPr>
            <w:r>
              <w:rPr>
                <w:rFonts w:hint="eastAsia" w:ascii="仿宋_GB2312" w:hAnsi="宋体"/>
                <w:b w:val="0"/>
                <w:bCs w:val="0"/>
                <w:color w:val="000000"/>
              </w:rPr>
              <w:t>（</w:t>
            </w:r>
            <w:r>
              <w:rPr>
                <w:rFonts w:hint="eastAsia" w:ascii="仿宋_GB2312" w:hAnsi="宋体" w:eastAsia="仿宋_GB2312"/>
                <w:b w:val="0"/>
                <w:bCs w:val="0"/>
                <w:color w:val="000000"/>
              </w:rPr>
              <w:t>20</w:t>
            </w:r>
            <w:r>
              <w:rPr>
                <w:rFonts w:hint="eastAsia" w:ascii="宋体" w:hAnsi="宋体"/>
                <w:b w:val="0"/>
                <w:bCs w:val="0"/>
                <w:color w:val="000000"/>
              </w:rPr>
              <w:t>分）</w:t>
            </w:r>
          </w:p>
        </w:tc>
        <w:tc>
          <w:tcPr>
            <w:tcW w:w="9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仿宋_GB2312" w:hAnsi="宋体"/>
                <w:b w:val="0"/>
                <w:bCs w:val="0"/>
                <w:color w:val="000000"/>
                <w:sz w:val="18"/>
                <w:szCs w:val="18"/>
              </w:rPr>
            </w:pPr>
            <w:r>
              <w:rPr>
                <w:rFonts w:hint="eastAsia" w:ascii="仿宋_GB2312" w:hAnsi="宋体"/>
                <w:b w:val="0"/>
                <w:bCs w:val="0"/>
                <w:color w:val="000000"/>
                <w:sz w:val="18"/>
                <w:szCs w:val="18"/>
              </w:rPr>
              <w:t>履职效益</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仿宋_GB2312" w:hAnsi="宋体"/>
                <w:b w:val="0"/>
                <w:bCs w:val="0"/>
                <w:color w:val="000000"/>
                <w:sz w:val="18"/>
                <w:szCs w:val="18"/>
              </w:rPr>
            </w:pPr>
            <w:r>
              <w:rPr>
                <w:rFonts w:hint="eastAsia" w:ascii="仿宋_GB2312" w:hAnsi="宋体"/>
                <w:b w:val="0"/>
                <w:bCs w:val="0"/>
                <w:color w:val="000000"/>
                <w:sz w:val="18"/>
                <w:szCs w:val="18"/>
              </w:rPr>
              <w:t>（</w:t>
            </w:r>
            <w:r>
              <w:rPr>
                <w:rFonts w:hint="eastAsia" w:ascii="仿宋_GB2312" w:hAnsi="宋体" w:eastAsia="仿宋_GB2312"/>
                <w:b w:val="0"/>
                <w:bCs w:val="0"/>
                <w:color w:val="000000"/>
                <w:sz w:val="18"/>
                <w:szCs w:val="18"/>
              </w:rPr>
              <w:t>20</w:t>
            </w:r>
            <w:r>
              <w:rPr>
                <w:rFonts w:hint="eastAsia" w:ascii="宋体" w:hAnsi="宋体"/>
                <w:b w:val="0"/>
                <w:bCs w:val="0"/>
                <w:color w:val="000000"/>
                <w:sz w:val="18"/>
                <w:szCs w:val="18"/>
              </w:rPr>
              <w:t>分）</w:t>
            </w: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经济效益</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（5分）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5</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部门履行职责对经济发展所带来的直接或间接影响。</w:t>
            </w:r>
          </w:p>
        </w:tc>
        <w:tc>
          <w:tcPr>
            <w:tcW w:w="500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949"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仿宋_GB2312"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社会效益</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（5分）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5</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部门履行职责对社会发展所带来的直接或间接影响。</w:t>
            </w:r>
          </w:p>
        </w:tc>
        <w:tc>
          <w:tcPr>
            <w:tcW w:w="50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宋体" w:hAnsi="宋体"/>
                <w:b w:val="0"/>
                <w:bCs w:val="0"/>
                <w:color w:val="000000"/>
                <w:sz w:val="18"/>
                <w:szCs w:val="18"/>
              </w:rPr>
            </w:pPr>
          </w:p>
        </w:tc>
      </w:tr>
      <w:tr>
        <w:tblPrEx>
          <w:tblCellMar>
            <w:top w:w="0" w:type="dxa"/>
            <w:left w:w="0" w:type="dxa"/>
            <w:bottom w:w="0" w:type="dxa"/>
            <w:right w:w="0" w:type="dxa"/>
          </w:tblCellMar>
        </w:tblPrEx>
        <w:trPr>
          <w:trHeight w:val="835"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仿宋_GB2312"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生态效益</w:t>
            </w:r>
          </w:p>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（5分）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5</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部门履行职责对生态环境所带来的直接或间接影响。</w:t>
            </w:r>
          </w:p>
        </w:tc>
        <w:tc>
          <w:tcPr>
            <w:tcW w:w="50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宋体" w:hAnsi="宋体"/>
                <w:b w:val="0"/>
                <w:bCs w:val="0"/>
                <w:color w:val="000000"/>
                <w:sz w:val="18"/>
                <w:szCs w:val="18"/>
              </w:rPr>
            </w:pPr>
          </w:p>
        </w:tc>
      </w:tr>
      <w:tr>
        <w:tblPrEx>
          <w:tblCellMar>
            <w:top w:w="0" w:type="dxa"/>
            <w:left w:w="0" w:type="dxa"/>
            <w:bottom w:w="0" w:type="dxa"/>
            <w:right w:w="0" w:type="dxa"/>
          </w:tblCellMar>
        </w:tblPrEx>
        <w:trPr>
          <w:trHeight w:val="1331" w:hRule="exac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left"/>
              <w:textAlignment w:val="auto"/>
              <w:rPr>
                <w:rFonts w:ascii="仿宋_GB2312" w:hAnsi="宋体"/>
                <w:b w:val="0"/>
                <w:bCs w:val="0"/>
                <w:color w:val="000000"/>
              </w:rPr>
            </w:pPr>
          </w:p>
        </w:tc>
        <w:tc>
          <w:tcPr>
            <w:tcW w:w="9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ascii="仿宋_GB2312" w:hAnsi="宋体"/>
                <w:b w:val="0"/>
                <w:bCs w:val="0"/>
                <w:color w:val="000000"/>
                <w:sz w:val="18"/>
                <w:szCs w:val="18"/>
              </w:rPr>
            </w:pPr>
          </w:p>
        </w:tc>
        <w:tc>
          <w:tcPr>
            <w:tcW w:w="97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社会公众或服务对象满意度（5分）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eastAsia="宋体"/>
                <w:b w:val="0"/>
                <w:bCs w:val="0"/>
                <w:color w:val="000000"/>
                <w:sz w:val="18"/>
                <w:szCs w:val="18"/>
                <w:lang w:val="en-US" w:eastAsia="zh-CN"/>
              </w:rPr>
            </w:pPr>
            <w:r>
              <w:rPr>
                <w:rFonts w:hint="eastAsia" w:ascii="宋体" w:hAnsi="宋体"/>
                <w:b w:val="0"/>
                <w:bCs w:val="0"/>
                <w:color w:val="000000"/>
                <w:sz w:val="18"/>
                <w:szCs w:val="18"/>
                <w:lang w:val="en-US" w:eastAsia="zh-CN"/>
              </w:rPr>
              <w:t>5</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sz w:val="18"/>
                <w:szCs w:val="18"/>
              </w:rPr>
              <w:t>社会公众或部门的服务对象对部门履职效果的满意程度。</w:t>
            </w: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right="0" w:rightChars="0"/>
              <w:jc w:val="left"/>
              <w:textAlignment w:val="auto"/>
              <w:rPr>
                <w:rFonts w:hint="eastAsia" w:ascii="宋体" w:hAnsi="宋体"/>
                <w:b w:val="0"/>
                <w:bCs w:val="0"/>
                <w:color w:val="000000"/>
                <w:sz w:val="18"/>
                <w:szCs w:val="18"/>
              </w:rPr>
            </w:pPr>
            <w:r>
              <w:rPr>
                <w:rFonts w:hint="eastAsia" w:ascii="宋体" w:hAnsi="宋体"/>
                <w:b w:val="0"/>
                <w:bCs w:val="0"/>
                <w:color w:val="000000"/>
                <w:kern w:val="0"/>
                <w:sz w:val="18"/>
                <w:szCs w:val="18"/>
              </w:rPr>
              <w:t>按收集到的服务对象的满意率计算得分（5分）</w:t>
            </w:r>
          </w:p>
        </w:tc>
      </w:tr>
      <w:tr>
        <w:tblPrEx>
          <w:tblCellMar>
            <w:top w:w="0" w:type="dxa"/>
            <w:left w:w="0" w:type="dxa"/>
            <w:bottom w:w="0" w:type="dxa"/>
            <w:right w:w="0" w:type="dxa"/>
          </w:tblCellMar>
        </w:tblPrEx>
        <w:trPr>
          <w:trHeight w:val="1331" w:hRule="exact"/>
          <w:jc w:val="center"/>
        </w:trPr>
        <w:tc>
          <w:tcPr>
            <w:tcW w:w="28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hint="eastAsia" w:ascii="宋体" w:hAnsi="宋体" w:eastAsiaTheme="minorEastAsia"/>
                <w:b w:val="0"/>
                <w:bCs w:val="0"/>
                <w:color w:val="000000"/>
                <w:sz w:val="18"/>
                <w:szCs w:val="18"/>
                <w:lang w:val="en-US" w:eastAsia="zh-CN"/>
              </w:rPr>
            </w:pPr>
            <w:r>
              <w:rPr>
                <w:rFonts w:hint="eastAsia" w:ascii="宋体" w:hAnsi="宋体"/>
                <w:b w:val="0"/>
                <w:bCs w:val="0"/>
                <w:color w:val="000000"/>
                <w:sz w:val="18"/>
                <w:szCs w:val="18"/>
                <w:lang w:val="en-US" w:eastAsia="zh-CN"/>
              </w:rPr>
              <w:t>总分</w:t>
            </w:r>
          </w:p>
        </w:tc>
        <w:tc>
          <w:tcPr>
            <w:tcW w:w="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default" w:ascii="宋体" w:hAnsi="宋体"/>
                <w:b w:val="0"/>
                <w:bCs w:val="0"/>
                <w:color w:val="000000"/>
                <w:sz w:val="18"/>
                <w:szCs w:val="18"/>
                <w:lang w:val="en-US" w:eastAsia="zh-CN"/>
              </w:rPr>
            </w:pPr>
            <w:r>
              <w:rPr>
                <w:rFonts w:hint="eastAsia" w:ascii="宋体" w:hAnsi="宋体"/>
                <w:b w:val="0"/>
                <w:bCs w:val="0"/>
                <w:color w:val="000000"/>
                <w:sz w:val="18"/>
                <w:szCs w:val="18"/>
                <w:lang w:val="en-US" w:eastAsia="zh-CN"/>
              </w:rPr>
              <w:t>97</w:t>
            </w:r>
          </w:p>
        </w:tc>
        <w:tc>
          <w:tcPr>
            <w:tcW w:w="28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hint="eastAsia" w:ascii="宋体" w:hAnsi="宋体"/>
                <w:b w:val="0"/>
                <w:bCs w:val="0"/>
                <w:color w:val="000000"/>
                <w:sz w:val="18"/>
                <w:szCs w:val="18"/>
              </w:rPr>
            </w:pPr>
          </w:p>
        </w:tc>
        <w:tc>
          <w:tcPr>
            <w:tcW w:w="500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360" w:firstLineChars="200"/>
              <w:jc w:val="left"/>
              <w:textAlignment w:val="auto"/>
              <w:rPr>
                <w:rFonts w:hint="eastAsia" w:ascii="宋体" w:hAnsi="宋体"/>
                <w:b w:val="0"/>
                <w:bCs w:val="0"/>
                <w:color w:val="000000"/>
                <w:kern w:val="0"/>
                <w:sz w:val="18"/>
                <w:szCs w:val="18"/>
              </w:rPr>
            </w:pPr>
          </w:p>
        </w:tc>
      </w:tr>
    </w:tbl>
    <w:p>
      <w:pPr>
        <w:pStyle w:val="2"/>
        <w:keepNext w:val="0"/>
        <w:keepLines w:val="0"/>
        <w:pageBreakBefore w:val="0"/>
        <w:kinsoku/>
        <w:wordWrap/>
        <w:overflowPunct/>
        <w:topLinePunct w:val="0"/>
        <w:autoSpaceDN/>
        <w:bidi w:val="0"/>
        <w:adjustRightInd/>
        <w:snapToGrid/>
        <w:spacing w:line="560" w:lineRule="exact"/>
        <w:ind w:left="0" w:leftChars="0" w:right="0" w:rightChars="0" w:firstLine="648" w:firstLineChars="200"/>
        <w:textAlignment w:val="auto"/>
        <w:rPr>
          <w:rFonts w:hint="eastAsi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2176"/>
    </w:sdtPr>
    <w:sdtContent>
      <w:p>
        <w:pPr>
          <w:pStyle w:val="3"/>
          <w:jc w:val="right"/>
        </w:pPr>
        <w:r>
          <w:fldChar w:fldCharType="begin"/>
        </w:r>
        <w:r>
          <w:instrText xml:space="preserve"> PAGE   \* MERGEFORMAT </w:instrText>
        </w:r>
        <w:r>
          <w:fldChar w:fldCharType="separate"/>
        </w:r>
        <w:r>
          <w:rPr>
            <w:lang w:val="zh-CN"/>
          </w:rPr>
          <w:t>13</w:t>
        </w:r>
        <w:r>
          <w:rPr>
            <w:lang w:val="zh-CN"/>
          </w:rPr>
          <w:fldChar w:fldCharType="end"/>
        </w:r>
      </w:p>
    </w:sdtContent>
  </w:sdt>
  <w:p>
    <w:pPr>
      <w:pStyle w:val="3"/>
      <w:ind w:left="210" w:leftChars="100" w:right="210" w:rightChars="10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E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semiHidden/>
    <w:qFormat/>
    <w:uiPriority w:val="99"/>
    <w:pPr>
      <w:spacing w:line="600" w:lineRule="exact"/>
      <w:ind w:right="10" w:rightChars="5" w:firstLine="648" w:firstLineChars="200"/>
    </w:pPr>
    <w:rPr>
      <w:rFonts w:ascii="方正仿宋_GBK" w:hAnsi="Times New Roman" w:eastAsia="方正仿宋_GBK" w:cs="Times New Roman"/>
      <w:bCs/>
      <w:color w:val="000000"/>
      <w:spacing w:val="2"/>
      <w:kern w:val="0"/>
      <w:sz w:val="32"/>
      <w:szCs w:val="3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2022-03-18T07:19:10Z</dcterms:created>
  <dc:creator>Administrator</dc:creator>
  <cp:lastModifiedBy>亦湛蓝</cp:lastModifiedBy>
  <dcterms:modified xsi:type="dcterms:W3CDTF">2022-03-18T07:19:35Z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