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Cs/>
          <w:color w:val="000000"/>
          <w:sz w:val="36"/>
          <w:szCs w:val="36"/>
        </w:rPr>
      </w:pPr>
      <w:r>
        <w:rPr>
          <w:rFonts w:hint="eastAsia" w:ascii="黑体" w:eastAsia="黑体"/>
          <w:bCs/>
          <w:color w:val="000000"/>
          <w:sz w:val="36"/>
          <w:szCs w:val="36"/>
        </w:rPr>
        <w:t>20</w:t>
      </w:r>
      <w:r>
        <w:rPr>
          <w:rFonts w:hint="eastAsia" w:ascii="黑体" w:eastAsia="黑体"/>
          <w:bCs/>
          <w:color w:val="000000"/>
          <w:sz w:val="36"/>
          <w:szCs w:val="36"/>
          <w:lang w:val="en-US" w:eastAsia="zh-CN"/>
        </w:rPr>
        <w:t>21</w:t>
      </w:r>
      <w:r>
        <w:rPr>
          <w:rFonts w:hint="eastAsia" w:ascii="黑体" w:eastAsia="黑体"/>
          <w:bCs/>
          <w:color w:val="000000"/>
          <w:sz w:val="36"/>
          <w:szCs w:val="36"/>
        </w:rPr>
        <w:t>年部门整体支出绩效自评指标计分表</w:t>
      </w:r>
    </w:p>
    <w:p>
      <w:pPr>
        <w:spacing w:line="300" w:lineRule="exact"/>
        <w:rPr>
          <w:rFonts w:hint="eastAsia" w:ascii="黑体" w:eastAsia="黑体"/>
          <w:color w:val="000000"/>
          <w:szCs w:val="32"/>
        </w:rPr>
      </w:pPr>
    </w:p>
    <w:tbl>
      <w:tblPr>
        <w:tblStyle w:val="2"/>
        <w:tblW w:w="9992" w:type="dxa"/>
        <w:jc w:val="center"/>
        <w:tblLayout w:type="fixed"/>
        <w:tblCellMar>
          <w:top w:w="0" w:type="dxa"/>
          <w:left w:w="0" w:type="dxa"/>
          <w:bottom w:w="0" w:type="dxa"/>
          <w:right w:w="0" w:type="dxa"/>
        </w:tblCellMar>
      </w:tblPr>
      <w:tblGrid>
        <w:gridCol w:w="828"/>
        <w:gridCol w:w="784"/>
        <w:gridCol w:w="848"/>
        <w:gridCol w:w="368"/>
        <w:gridCol w:w="2792"/>
        <w:gridCol w:w="4372"/>
      </w:tblGrid>
      <w:tr>
        <w:tblPrEx>
          <w:tblCellMar>
            <w:top w:w="0" w:type="dxa"/>
            <w:left w:w="0" w:type="dxa"/>
            <w:bottom w:w="0" w:type="dxa"/>
            <w:right w:w="0" w:type="dxa"/>
          </w:tblCellMar>
        </w:tblPrEx>
        <w:trPr>
          <w:trHeight w:val="853" w:hRule="atLeast"/>
          <w:tblHeader/>
          <w:jc w:val="center"/>
        </w:trPr>
        <w:tc>
          <w:tcPr>
            <w:tcW w:w="82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一级</w:t>
            </w:r>
            <w:r>
              <w:rPr>
                <w:rFonts w:hint="eastAsia" w:ascii="黑体" w:hAnsi="黑体" w:eastAsia="黑体"/>
                <w:bCs/>
                <w:color w:val="000000"/>
                <w:szCs w:val="21"/>
              </w:rPr>
              <w:br w:type="textWrapping"/>
            </w:r>
            <w:r>
              <w:rPr>
                <w:rFonts w:hint="eastAsia" w:ascii="黑体" w:hAnsi="黑体" w:eastAsia="黑体"/>
                <w:bCs/>
                <w:color w:val="000000"/>
                <w:szCs w:val="21"/>
              </w:rPr>
              <w:t>指标</w:t>
            </w:r>
          </w:p>
        </w:tc>
        <w:tc>
          <w:tcPr>
            <w:tcW w:w="784"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二级</w:t>
            </w:r>
          </w:p>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指标</w:t>
            </w: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三级  指标</w:t>
            </w:r>
          </w:p>
        </w:tc>
        <w:tc>
          <w:tcPr>
            <w:tcW w:w="36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自评分</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指标解释</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指标说明</w:t>
            </w:r>
          </w:p>
        </w:tc>
      </w:tr>
      <w:tr>
        <w:tblPrEx>
          <w:tblCellMar>
            <w:top w:w="0" w:type="dxa"/>
            <w:left w:w="0" w:type="dxa"/>
            <w:bottom w:w="0" w:type="dxa"/>
            <w:right w:w="0" w:type="dxa"/>
          </w:tblCellMar>
        </w:tblPrEx>
        <w:trPr>
          <w:trHeight w:val="1327"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r>
              <w:rPr>
                <w:rFonts w:hint="eastAsia" w:ascii="仿宋_GB2312"/>
                <w:color w:val="000000"/>
                <w:szCs w:val="21"/>
              </w:rPr>
              <w:t>投</w:t>
            </w:r>
            <w:r>
              <w:rPr>
                <w:rFonts w:hint="eastAsia" w:ascii="仿宋_GB2312"/>
                <w:color w:val="000000"/>
                <w:szCs w:val="21"/>
                <w:lang w:val="en-US" w:eastAsia="zh-CN"/>
              </w:rPr>
              <w:t xml:space="preserve"> </w:t>
            </w:r>
            <w:r>
              <w:rPr>
                <w:rFonts w:hint="eastAsia" w:ascii="仿宋_GB2312"/>
                <w:color w:val="000000"/>
                <w:szCs w:val="21"/>
              </w:rPr>
              <w:t>入</w:t>
            </w:r>
          </w:p>
          <w:p>
            <w:pPr>
              <w:spacing w:line="240" w:lineRule="exact"/>
              <w:jc w:val="center"/>
              <w:rPr>
                <w:rFonts w:hint="eastAsia" w:ascii="仿宋_GB2312"/>
                <w:color w:val="000000"/>
                <w:szCs w:val="21"/>
              </w:rPr>
            </w:pPr>
            <w:r>
              <w:rPr>
                <w:rFonts w:hint="eastAsia" w:ascii="仿宋_GB2312"/>
                <w:color w:val="000000"/>
                <w:szCs w:val="21"/>
              </w:rPr>
              <w:t>（20分）</w:t>
            </w: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目标</w:t>
            </w:r>
            <w:r>
              <w:rPr>
                <w:rFonts w:hint="eastAsia" w:ascii="宋体" w:hAnsi="宋体"/>
                <w:color w:val="000000"/>
                <w:sz w:val="18"/>
                <w:szCs w:val="18"/>
              </w:rPr>
              <w:br w:type="textWrapping"/>
            </w:r>
            <w:r>
              <w:rPr>
                <w:rFonts w:hint="eastAsia" w:ascii="宋体" w:hAnsi="宋体"/>
                <w:color w:val="000000"/>
                <w:sz w:val="18"/>
                <w:szCs w:val="18"/>
              </w:rPr>
              <w:t>设定</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绩效目标合理性</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绩效指标明确性</w:t>
            </w:r>
          </w:p>
          <w:p>
            <w:pPr>
              <w:spacing w:line="240" w:lineRule="exact"/>
              <w:jc w:val="center"/>
              <w:rPr>
                <w:rFonts w:hint="eastAsia" w:ascii="宋体" w:hAnsi="宋体"/>
                <w:color w:val="000000"/>
                <w:sz w:val="18"/>
                <w:szCs w:val="18"/>
              </w:rPr>
            </w:pPr>
            <w:r>
              <w:rPr>
                <w:rFonts w:hint="eastAsia" w:ascii="宋体" w:hAnsi="宋体"/>
                <w:color w:val="000000"/>
                <w:sz w:val="18"/>
                <w:szCs w:val="18"/>
              </w:rPr>
              <w:t>（3分）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3</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配置</w:t>
            </w:r>
          </w:p>
          <w:p>
            <w:pPr>
              <w:spacing w:line="240" w:lineRule="exact"/>
              <w:jc w:val="center"/>
              <w:rPr>
                <w:rFonts w:hint="eastAsia" w:ascii="宋体" w:hAnsi="宋体"/>
                <w:color w:val="000000"/>
                <w:sz w:val="18"/>
                <w:szCs w:val="18"/>
              </w:rPr>
            </w:pPr>
            <w:r>
              <w:rPr>
                <w:rFonts w:hint="eastAsia" w:ascii="宋体" w:hAnsi="宋体"/>
                <w:color w:val="000000"/>
                <w:sz w:val="18"/>
                <w:szCs w:val="18"/>
              </w:rPr>
              <w:t>（15分）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在职人员控制率</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35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“三公</w:t>
            </w:r>
          </w:p>
          <w:p>
            <w:pPr>
              <w:spacing w:line="240" w:lineRule="exact"/>
              <w:jc w:val="center"/>
              <w:rPr>
                <w:rFonts w:hint="eastAsia" w:ascii="宋体" w:hAnsi="宋体"/>
                <w:color w:val="000000"/>
                <w:sz w:val="18"/>
                <w:szCs w:val="18"/>
              </w:rPr>
            </w:pPr>
            <w:r>
              <w:rPr>
                <w:rFonts w:hint="eastAsia" w:ascii="宋体" w:hAnsi="宋体"/>
                <w:color w:val="000000"/>
                <w:sz w:val="18"/>
                <w:szCs w:val="18"/>
              </w:rPr>
              <w:t>经费”</w:t>
            </w:r>
          </w:p>
          <w:p>
            <w:pPr>
              <w:spacing w:line="240" w:lineRule="exact"/>
              <w:jc w:val="center"/>
              <w:rPr>
                <w:rFonts w:hint="eastAsia" w:ascii="宋体" w:hAnsi="宋体"/>
                <w:color w:val="000000"/>
                <w:sz w:val="18"/>
                <w:szCs w:val="18"/>
              </w:rPr>
            </w:pPr>
            <w:r>
              <w:rPr>
                <w:rFonts w:hint="eastAsia" w:ascii="宋体" w:hAnsi="宋体"/>
                <w:color w:val="000000"/>
                <w:sz w:val="18"/>
                <w:szCs w:val="18"/>
              </w:rPr>
              <w:t>变动率</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524"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重点支出安排率</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jc w:val="center"/>
        </w:trPr>
        <w:tc>
          <w:tcPr>
            <w:tcW w:w="828" w:type="dxa"/>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r>
              <w:rPr>
                <w:rFonts w:hint="eastAsia" w:ascii="仿宋_GB2312"/>
                <w:color w:val="000000"/>
                <w:szCs w:val="21"/>
              </w:rPr>
              <w:t>过  程（30分）</w:t>
            </w:r>
          </w:p>
        </w:tc>
        <w:tc>
          <w:tcPr>
            <w:tcW w:w="784" w:type="dxa"/>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执行</w:t>
            </w:r>
          </w:p>
          <w:p>
            <w:pPr>
              <w:spacing w:line="240" w:lineRule="exact"/>
              <w:jc w:val="center"/>
              <w:rPr>
                <w:rFonts w:hint="eastAsia" w:ascii="宋体" w:hAnsi="宋体"/>
                <w:color w:val="000000"/>
                <w:sz w:val="18"/>
                <w:szCs w:val="18"/>
              </w:rPr>
            </w:pPr>
            <w:r>
              <w:rPr>
                <w:rFonts w:hint="eastAsia" w:ascii="宋体" w:hAnsi="宋体"/>
                <w:color w:val="000000"/>
                <w:sz w:val="18"/>
                <w:szCs w:val="18"/>
              </w:rPr>
              <w:t>（20分）</w:t>
            </w:r>
          </w:p>
        </w:tc>
        <w:tc>
          <w:tcPr>
            <w:tcW w:w="84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预算</w:t>
            </w:r>
          </w:p>
          <w:p>
            <w:pPr>
              <w:spacing w:line="240" w:lineRule="exact"/>
              <w:jc w:val="center"/>
              <w:rPr>
                <w:rFonts w:hint="eastAsia" w:ascii="宋体" w:hAnsi="宋体"/>
                <w:color w:val="000000"/>
                <w:sz w:val="18"/>
                <w:szCs w:val="18"/>
              </w:rPr>
            </w:pPr>
            <w:r>
              <w:rPr>
                <w:rFonts w:hint="eastAsia" w:ascii="宋体" w:hAnsi="宋体"/>
                <w:color w:val="000000"/>
                <w:sz w:val="18"/>
                <w:szCs w:val="18"/>
              </w:rPr>
              <w:t>完成率</w:t>
            </w:r>
          </w:p>
          <w:p>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single" w:color="auto" w:sz="4" w:space="0"/>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457"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000000"/>
                <w:sz w:val="18"/>
                <w:szCs w:val="18"/>
              </w:rPr>
            </w:pPr>
          </w:p>
        </w:tc>
        <w:tc>
          <w:tcPr>
            <w:tcW w:w="84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预算</w:t>
            </w:r>
          </w:p>
          <w:p>
            <w:pPr>
              <w:spacing w:line="240" w:lineRule="exact"/>
              <w:jc w:val="center"/>
              <w:rPr>
                <w:rFonts w:hint="eastAsia" w:ascii="宋体" w:hAnsi="宋体"/>
                <w:color w:val="000000"/>
                <w:sz w:val="18"/>
                <w:szCs w:val="18"/>
              </w:rPr>
            </w:pPr>
            <w:r>
              <w:rPr>
                <w:rFonts w:hint="eastAsia" w:ascii="宋体" w:hAnsi="宋体"/>
                <w:color w:val="000000"/>
                <w:sz w:val="18"/>
                <w:szCs w:val="18"/>
              </w:rPr>
              <w:t>调整率</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single" w:color="auto" w:sz="4" w:space="0"/>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1823"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000000"/>
                <w:sz w:val="18"/>
                <w:szCs w:val="18"/>
              </w:rPr>
            </w:pPr>
          </w:p>
        </w:tc>
        <w:tc>
          <w:tcPr>
            <w:tcW w:w="84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支付</w:t>
            </w:r>
          </w:p>
          <w:p>
            <w:pPr>
              <w:spacing w:line="240" w:lineRule="exact"/>
              <w:jc w:val="center"/>
              <w:rPr>
                <w:rFonts w:hint="eastAsia" w:ascii="宋体" w:hAnsi="宋体"/>
                <w:color w:val="000000"/>
                <w:sz w:val="18"/>
                <w:szCs w:val="18"/>
              </w:rPr>
            </w:pPr>
            <w:r>
              <w:rPr>
                <w:rFonts w:hint="eastAsia" w:ascii="宋体" w:hAnsi="宋体"/>
                <w:color w:val="000000"/>
                <w:sz w:val="18"/>
                <w:szCs w:val="18"/>
              </w:rPr>
              <w:t>进度率</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single" w:color="auto" w:sz="4" w:space="0"/>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062" w:hRule="atLeast"/>
          <w:jc w:val="center"/>
        </w:trPr>
        <w:tc>
          <w:tcPr>
            <w:tcW w:w="828" w:type="dxa"/>
            <w:vMerge w:val="continue"/>
            <w:tcBorders>
              <w:top w:val="single" w:color="auto" w:sz="4" w:space="0"/>
              <w:left w:val="single" w:color="auto" w:sz="4" w:space="0"/>
              <w:right w:val="single" w:color="auto" w:sz="4" w:space="0"/>
            </w:tcBorders>
            <w:noWrap w:val="0"/>
            <w:tcMar>
              <w:top w:w="10" w:type="dxa"/>
              <w:left w:w="10" w:type="dxa"/>
              <w:bottom w:w="0" w:type="dxa"/>
              <w:right w:w="10" w:type="dxa"/>
            </w:tcMar>
            <w:textDirection w:val="tbRlV"/>
            <w:vAlign w:val="center"/>
          </w:tcPr>
          <w:p>
            <w:pPr>
              <w:spacing w:line="240" w:lineRule="exact"/>
              <w:jc w:val="center"/>
              <w:rPr>
                <w:rFonts w:hint="eastAsia" w:ascii="仿宋_GB2312"/>
                <w:color w:val="000000"/>
                <w:szCs w:val="21"/>
              </w:rPr>
            </w:pPr>
          </w:p>
        </w:tc>
        <w:tc>
          <w:tcPr>
            <w:tcW w:w="784" w:type="dxa"/>
            <w:vMerge w:val="continue"/>
            <w:tcBorders>
              <w:top w:val="single" w:color="auto" w:sz="4" w:space="0"/>
              <w:left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结转结余控制率</w:t>
            </w:r>
          </w:p>
          <w:p>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081"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公用经费控制率</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009"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“三公经费”控制率（2分）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333"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政府采购执行率</w:t>
            </w:r>
          </w:p>
          <w:p>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302"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r>
              <w:rPr>
                <w:rFonts w:hint="eastAsia" w:ascii="仿宋_GB2312"/>
                <w:color w:val="000000"/>
                <w:szCs w:val="21"/>
              </w:rPr>
              <w:t>预算</w:t>
            </w:r>
          </w:p>
          <w:p>
            <w:pPr>
              <w:spacing w:line="240" w:lineRule="exact"/>
              <w:jc w:val="center"/>
              <w:rPr>
                <w:rFonts w:hint="eastAsia" w:ascii="仿宋_GB2312"/>
                <w:color w:val="000000"/>
                <w:szCs w:val="21"/>
              </w:rPr>
            </w:pPr>
            <w:r>
              <w:rPr>
                <w:rFonts w:hint="eastAsia" w:ascii="仿宋_GB2312"/>
                <w:color w:val="000000"/>
                <w:szCs w:val="21"/>
              </w:rPr>
              <w:t>管理</w:t>
            </w:r>
          </w:p>
          <w:p>
            <w:pPr>
              <w:spacing w:line="240" w:lineRule="exact"/>
              <w:jc w:val="center"/>
              <w:rPr>
                <w:rFonts w:hint="eastAsia" w:ascii="仿宋_GB2312"/>
                <w:color w:val="000000"/>
                <w:szCs w:val="21"/>
              </w:rPr>
            </w:pPr>
            <w:r>
              <w:rPr>
                <w:rFonts w:hint="eastAsia" w:ascii="仿宋_GB2312"/>
                <w:color w:val="000000"/>
                <w:szCs w:val="21"/>
              </w:rPr>
              <w:t>（5分）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管理制度健全性</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1.7</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324"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资金使用合规性</w:t>
            </w:r>
          </w:p>
          <w:p>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预决算信息公开性</w:t>
            </w:r>
          </w:p>
          <w:p>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940"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基础信息完善性</w:t>
            </w:r>
          </w:p>
          <w:p>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0.7</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262" w:hRule="atLeast"/>
          <w:jc w:val="center"/>
        </w:trPr>
        <w:tc>
          <w:tcPr>
            <w:tcW w:w="828" w:type="dxa"/>
            <w:vMerge w:val="continue"/>
            <w:tcBorders>
              <w:left w:val="single" w:color="auto" w:sz="4" w:space="0"/>
              <w:right w:val="single" w:color="auto" w:sz="4" w:space="0"/>
            </w:tcBorders>
            <w:noWrap w:val="0"/>
            <w:tcMar>
              <w:top w:w="10" w:type="dxa"/>
              <w:left w:w="10" w:type="dxa"/>
              <w:bottom w:w="0" w:type="dxa"/>
              <w:right w:w="10" w:type="dxa"/>
            </w:tcMar>
            <w:textDirection w:val="tbRlV"/>
            <w:vAlign w:val="center"/>
          </w:tcPr>
          <w:p>
            <w:pPr>
              <w:spacing w:line="240" w:lineRule="exact"/>
              <w:jc w:val="center"/>
              <w:rPr>
                <w:rFonts w:hint="eastAsia" w:ascii="仿宋_GB2312"/>
                <w:color w:val="000000"/>
                <w:szCs w:val="21"/>
              </w:rPr>
            </w:pPr>
          </w:p>
        </w:tc>
        <w:tc>
          <w:tcPr>
            <w:tcW w:w="784" w:type="dxa"/>
            <w:vMerge w:val="restart"/>
            <w:tcBorders>
              <w:top w:val="nil"/>
              <w:left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r>
              <w:rPr>
                <w:rFonts w:hint="eastAsia" w:ascii="仿宋_GB2312"/>
                <w:color w:val="000000"/>
                <w:szCs w:val="21"/>
              </w:rPr>
              <w:t>资产</w:t>
            </w:r>
            <w:r>
              <w:rPr>
                <w:rFonts w:hint="eastAsia" w:ascii="仿宋_GB2312"/>
                <w:color w:val="000000"/>
                <w:szCs w:val="21"/>
              </w:rPr>
              <w:br w:type="textWrapping"/>
            </w:r>
            <w:r>
              <w:rPr>
                <w:rFonts w:hint="eastAsia" w:ascii="仿宋_GB2312"/>
                <w:color w:val="000000"/>
                <w:szCs w:val="21"/>
              </w:rPr>
              <w:t>管理</w:t>
            </w:r>
          </w:p>
          <w:p>
            <w:pPr>
              <w:spacing w:line="240" w:lineRule="exact"/>
              <w:jc w:val="center"/>
              <w:rPr>
                <w:rFonts w:hint="eastAsia" w:ascii="仿宋_GB2312"/>
                <w:color w:val="000000"/>
                <w:szCs w:val="21"/>
              </w:rPr>
            </w:pPr>
            <w:r>
              <w:rPr>
                <w:rFonts w:hint="eastAsia" w:ascii="仿宋_GB2312"/>
                <w:color w:val="000000"/>
                <w:szCs w:val="21"/>
              </w:rPr>
              <w:t>（5分）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管理制度健全性</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1.8</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1050"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资产管理安全性</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pPr>
              <w:tabs>
                <w:tab w:val="left" w:pos="761"/>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761"/>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880" w:hRule="atLeast"/>
          <w:jc w:val="center"/>
        </w:trPr>
        <w:tc>
          <w:tcPr>
            <w:tcW w:w="828"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固定资产利用率</w:t>
            </w:r>
          </w:p>
          <w:p>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1159"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r>
              <w:rPr>
                <w:rFonts w:hint="eastAsia" w:ascii="仿宋_GB2312"/>
                <w:color w:val="000000"/>
                <w:szCs w:val="21"/>
              </w:rPr>
              <w:t>产  出（30分）</w:t>
            </w: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 w:val="18"/>
                <w:szCs w:val="18"/>
              </w:rPr>
            </w:pPr>
            <w:r>
              <w:rPr>
                <w:rFonts w:hint="eastAsia" w:ascii="仿宋_GB2312"/>
                <w:color w:val="000000"/>
                <w:sz w:val="18"/>
                <w:szCs w:val="18"/>
              </w:rPr>
              <w:t>职责</w:t>
            </w:r>
            <w:r>
              <w:rPr>
                <w:rFonts w:hint="eastAsia" w:ascii="仿宋_GB2312"/>
                <w:color w:val="000000"/>
                <w:sz w:val="18"/>
                <w:szCs w:val="18"/>
              </w:rPr>
              <w:br w:type="textWrapping"/>
            </w:r>
            <w:r>
              <w:rPr>
                <w:rFonts w:hint="eastAsia" w:ascii="仿宋_GB2312"/>
                <w:color w:val="000000"/>
                <w:sz w:val="18"/>
                <w:szCs w:val="18"/>
              </w:rPr>
              <w:t>履行</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实际</w:t>
            </w:r>
          </w:p>
          <w:p>
            <w:pPr>
              <w:spacing w:line="240" w:lineRule="exact"/>
              <w:jc w:val="center"/>
              <w:rPr>
                <w:rFonts w:hint="eastAsia" w:ascii="宋体" w:hAnsi="宋体"/>
                <w:color w:val="000000"/>
                <w:sz w:val="18"/>
                <w:szCs w:val="18"/>
              </w:rPr>
            </w:pPr>
            <w:r>
              <w:rPr>
                <w:rFonts w:hint="eastAsia" w:ascii="宋体" w:hAnsi="宋体"/>
                <w:color w:val="000000"/>
                <w:sz w:val="18"/>
                <w:szCs w:val="18"/>
              </w:rPr>
              <w:t>完成率</w:t>
            </w:r>
          </w:p>
          <w:p>
            <w:pPr>
              <w:spacing w:line="240" w:lineRule="exact"/>
              <w:jc w:val="center"/>
              <w:rPr>
                <w:rFonts w:hint="eastAsia" w:ascii="宋体" w:hAnsi="宋体"/>
                <w:color w:val="000000"/>
                <w:sz w:val="18"/>
                <w:szCs w:val="18"/>
              </w:rPr>
            </w:pPr>
            <w:r>
              <w:rPr>
                <w:rFonts w:hint="eastAsia" w:ascii="宋体" w:hAnsi="宋体"/>
                <w:color w:val="000000"/>
                <w:sz w:val="18"/>
                <w:szCs w:val="18"/>
              </w:rPr>
              <w:t>（8分）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8</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1116"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完成</w:t>
            </w:r>
          </w:p>
          <w:p>
            <w:pPr>
              <w:spacing w:line="240" w:lineRule="exact"/>
              <w:jc w:val="center"/>
              <w:rPr>
                <w:rFonts w:hint="eastAsia" w:ascii="宋体" w:hAnsi="宋体"/>
                <w:color w:val="000000"/>
                <w:sz w:val="18"/>
                <w:szCs w:val="18"/>
              </w:rPr>
            </w:pPr>
            <w:r>
              <w:rPr>
                <w:rFonts w:hint="eastAsia" w:ascii="宋体" w:hAnsi="宋体"/>
                <w:color w:val="000000"/>
                <w:sz w:val="18"/>
                <w:szCs w:val="18"/>
              </w:rPr>
              <w:t>及时率</w:t>
            </w:r>
          </w:p>
          <w:p>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完成及时率=（及时完成实际工作数/计划工作数）×100%。1-4季度各得1分</w:t>
            </w:r>
            <w:r>
              <w:rPr>
                <w:rFonts w:hint="eastAsia" w:ascii="宋体" w:hAnsi="宋体"/>
                <w:color w:val="000000"/>
                <w:sz w:val="18"/>
                <w:szCs w:val="18"/>
              </w:rPr>
              <w:br w:type="textWrapping"/>
            </w:r>
          </w:p>
        </w:tc>
      </w:tr>
      <w:tr>
        <w:tblPrEx>
          <w:tblCellMar>
            <w:top w:w="0" w:type="dxa"/>
            <w:left w:w="0" w:type="dxa"/>
            <w:bottom w:w="0" w:type="dxa"/>
            <w:right w:w="0" w:type="dxa"/>
          </w:tblCellMar>
        </w:tblPrEx>
        <w:trPr>
          <w:trHeight w:val="108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质量</w:t>
            </w:r>
          </w:p>
          <w:p>
            <w:pPr>
              <w:spacing w:line="240" w:lineRule="exact"/>
              <w:jc w:val="center"/>
              <w:rPr>
                <w:rFonts w:hint="eastAsia" w:ascii="宋体" w:hAnsi="宋体"/>
                <w:color w:val="000000"/>
                <w:sz w:val="18"/>
                <w:szCs w:val="18"/>
              </w:rPr>
            </w:pPr>
            <w:r>
              <w:rPr>
                <w:rFonts w:hint="eastAsia" w:ascii="宋体" w:hAnsi="宋体"/>
                <w:color w:val="000000"/>
                <w:sz w:val="18"/>
                <w:szCs w:val="18"/>
              </w:rPr>
              <w:t>达标率</w:t>
            </w:r>
          </w:p>
          <w:p>
            <w:pPr>
              <w:spacing w:line="240" w:lineRule="exact"/>
              <w:jc w:val="center"/>
              <w:rPr>
                <w:rFonts w:hint="eastAsia" w:ascii="宋体" w:hAnsi="宋体"/>
                <w:color w:val="000000"/>
                <w:sz w:val="18"/>
                <w:szCs w:val="18"/>
              </w:rPr>
            </w:pPr>
            <w:r>
              <w:rPr>
                <w:rFonts w:hint="eastAsia" w:ascii="宋体" w:hAnsi="宋体"/>
                <w:color w:val="000000"/>
                <w:sz w:val="18"/>
                <w:szCs w:val="18"/>
              </w:rPr>
              <w:t>（8分）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7.5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质量达标率=（质量达标实际工作数/计划工作数）×100%。实际得分=达标率*8分</w:t>
            </w:r>
          </w:p>
        </w:tc>
      </w:tr>
      <w:tr>
        <w:tblPrEx>
          <w:tblCellMar>
            <w:top w:w="0" w:type="dxa"/>
            <w:left w:w="0" w:type="dxa"/>
            <w:bottom w:w="0" w:type="dxa"/>
            <w:right w:w="0" w:type="dxa"/>
          </w:tblCellMar>
        </w:tblPrEx>
        <w:trPr>
          <w:trHeight w:val="1042"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重点工作办结率</w:t>
            </w:r>
          </w:p>
          <w:p>
            <w:pPr>
              <w:spacing w:line="240" w:lineRule="exact"/>
              <w:jc w:val="center"/>
              <w:rPr>
                <w:rFonts w:hint="eastAsia" w:ascii="宋体" w:hAnsi="宋体"/>
                <w:color w:val="000000"/>
                <w:sz w:val="18"/>
                <w:szCs w:val="18"/>
              </w:rPr>
            </w:pPr>
            <w:r>
              <w:rPr>
                <w:rFonts w:hint="eastAsia" w:ascii="宋体" w:hAnsi="宋体"/>
                <w:color w:val="000000"/>
                <w:sz w:val="18"/>
                <w:szCs w:val="18"/>
              </w:rPr>
              <w:t>（10分）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755"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r>
              <w:rPr>
                <w:rFonts w:hint="eastAsia" w:ascii="仿宋_GB2312"/>
                <w:color w:val="000000"/>
                <w:szCs w:val="21"/>
              </w:rPr>
              <w:t>效  果（20分）</w:t>
            </w: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 w:val="18"/>
                <w:szCs w:val="18"/>
              </w:rPr>
            </w:pPr>
            <w:r>
              <w:rPr>
                <w:rFonts w:hint="eastAsia" w:ascii="仿宋_GB2312"/>
                <w:color w:val="000000"/>
                <w:sz w:val="18"/>
                <w:szCs w:val="18"/>
              </w:rPr>
              <w:t>履职</w:t>
            </w:r>
            <w:r>
              <w:rPr>
                <w:rFonts w:hint="eastAsia" w:ascii="仿宋_GB2312"/>
                <w:color w:val="000000"/>
                <w:sz w:val="18"/>
                <w:szCs w:val="18"/>
              </w:rPr>
              <w:br w:type="textWrapping"/>
            </w:r>
            <w:r>
              <w:rPr>
                <w:rFonts w:hint="eastAsia" w:ascii="仿宋_GB2312"/>
                <w:color w:val="000000"/>
                <w:sz w:val="18"/>
                <w:szCs w:val="18"/>
              </w:rPr>
              <w:t>效益</w:t>
            </w:r>
          </w:p>
          <w:p>
            <w:pPr>
              <w:spacing w:line="240" w:lineRule="exact"/>
              <w:jc w:val="center"/>
              <w:rPr>
                <w:rFonts w:hint="eastAsia" w:ascii="仿宋_GB2312"/>
                <w:color w:val="000000"/>
                <w:sz w:val="18"/>
                <w:szCs w:val="18"/>
              </w:rPr>
            </w:pPr>
            <w:r>
              <w:rPr>
                <w:rFonts w:hint="eastAsia" w:ascii="仿宋_GB2312"/>
                <w:color w:val="000000"/>
                <w:sz w:val="18"/>
                <w:szCs w:val="18"/>
              </w:rPr>
              <w:t>（20分）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经济效益</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部门履行职责对经济发展所带来的直接或间接影响。</w:t>
            </w:r>
          </w:p>
        </w:tc>
        <w:tc>
          <w:tcPr>
            <w:tcW w:w="4372"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s="宋体"/>
                <w:color w:val="000000"/>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67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社会效益</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部门履行职责对社会发展所带来的直接或间接影响。</w:t>
            </w:r>
          </w:p>
        </w:tc>
        <w:tc>
          <w:tcPr>
            <w:tcW w:w="437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p>
        </w:tc>
      </w:tr>
      <w:tr>
        <w:tblPrEx>
          <w:tblCellMar>
            <w:top w:w="0" w:type="dxa"/>
            <w:left w:w="0" w:type="dxa"/>
            <w:bottom w:w="0" w:type="dxa"/>
            <w:right w:w="0" w:type="dxa"/>
          </w:tblCellMar>
        </w:tblPrEx>
        <w:trPr>
          <w:trHeight w:val="53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生态效益</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部门履行职责对生态环境所带来的直接或间接影响。</w:t>
            </w:r>
          </w:p>
        </w:tc>
        <w:tc>
          <w:tcPr>
            <w:tcW w:w="437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p>
        </w:tc>
      </w:tr>
      <w:tr>
        <w:tblPrEx>
          <w:tblCellMar>
            <w:top w:w="0" w:type="dxa"/>
            <w:left w:w="0" w:type="dxa"/>
            <w:bottom w:w="0" w:type="dxa"/>
            <w:right w:w="0" w:type="dxa"/>
          </w:tblCellMar>
        </w:tblPrEx>
        <w:trPr>
          <w:trHeight w:val="1296"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社会公众或服务对象满意度（5分）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社会公众或部门的服务对象对部门履职效果的满意程度。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s="宋体"/>
                <w:color w:val="000000"/>
                <w:kern w:val="0"/>
                <w:sz w:val="18"/>
                <w:szCs w:val="18"/>
              </w:rPr>
              <w:t>按收集到的服务对象的满意率计算得分（5分）</w:t>
            </w:r>
          </w:p>
        </w:tc>
      </w:tr>
    </w:tbl>
    <w:p>
      <w:pPr>
        <w:numPr>
          <w:ilvl w:val="0"/>
          <w:numId w:val="0"/>
        </w:numPr>
        <w:topLinePunct/>
        <w:spacing w:line="560" w:lineRule="exact"/>
        <w:ind w:leftChars="200"/>
        <w:rPr>
          <w:rFonts w:hint="eastAsia" w:ascii="黑体" w:hAnsi="黑体" w:eastAsia="黑体"/>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楷体_GB2312" w:hAnsi="Times New Roman" w:eastAsia="楷体_GB2312" w:cs="Times New Roman"/>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楷体_GB2312" w:hAnsi="Times New Roman" w:eastAsia="楷体_GB2312" w:cs="Times New Roman"/>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楷体_GB2312" w:hAnsi="Times New Roman" w:eastAsia="楷体_GB2312" w:cs="Times New Roman"/>
          <w:color w:val="000000"/>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1C5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2022-03-15T03:03:45Z</dcterms:created>
  <dc:creator>Administrator</dc:creator>
  <cp:lastModifiedBy>zj</cp:lastModifiedBy>
  <dcterms:modified xsi:type="dcterms:W3CDTF">2022-03-15T03:04:29Z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