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pacing w:line="560" w:lineRule="exact"/>
        <w:ind w:firstLine="560"/>
        <w:rPr>
          <w:rFonts w:ascii="黑体" w:hAnsi="黑体" w:eastAsia="黑体"/>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FE"/>
    <w:rsid w:val="00670E51"/>
    <w:rsid w:val="00A12B88"/>
    <w:rsid w:val="00BE467A"/>
    <w:rsid w:val="00CA6C45"/>
    <w:rsid w:val="00CB31FE"/>
    <w:rsid w:val="1746109C"/>
    <w:rsid w:val="4B396A96"/>
    <w:rsid w:val="51967958"/>
    <w:rsid w:val="739C71C1"/>
    <w:rsid w:val="778B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qFormat/>
    <w:uiPriority w:val="9"/>
    <w:rPr>
      <w:rFonts w:ascii="Calibri" w:hAnsi="Calibri" w:eastAsia="方正小标宋_GBK" w:cs="Calibri"/>
      <w:bCs/>
      <w:kern w:val="44"/>
      <w:sz w:val="44"/>
      <w:szCs w:val="44"/>
    </w:rPr>
  </w:style>
  <w:style w:type="character" w:customStyle="1" w:styleId="7">
    <w:name w:val="标题 3 Char"/>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1034</Words>
  <Characters>5898</Characters>
  <Lines>49</Lines>
  <Paragraphs>13</Paragraphs>
  <TotalTime>11</TotalTime>
  <ScaleCrop>false</ScaleCrop>
  <LinksUpToDate>false</LinksUpToDate>
  <CharactersWithSpaces>6919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西西</cp:lastModifiedBy>
  <cp:lastPrinted>2022-03-14T03:49:17Z</cp:lastPrinted>
  <dcterms:modified xsi:type="dcterms:W3CDTF">2022-03-14T03:49:27Z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931428850_cloud</vt:lpwstr>
  </property>
  <property fmtid="{D5CDD505-2E9C-101B-9397-08002B2CF9AE}" pid="3" name="KSOProductBuildVer">
    <vt:lpwstr>2052-11.1.0.11365</vt:lpwstr>
  </property>
  <property fmtid="{D5CDD505-2E9C-101B-9397-08002B2CF9AE}" pid="4" name="ICV">
    <vt:lpwstr>4FEB80824B904966B9FCC273E5E3063C</vt:lpwstr>
  </property>
</Properties>
</file>