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 w:val="left" w:pos="6090"/>
        </w:tabs>
        <w:spacing w:line="740" w:lineRule="exact"/>
        <w:jc w:val="center"/>
        <w:rPr>
          <w:rFonts w:ascii="仿宋" w:hAnsi="仿宋" w:eastAsia="仿宋"/>
          <w:b/>
          <w:spacing w:val="24"/>
          <w:sz w:val="52"/>
          <w:szCs w:val="52"/>
        </w:rPr>
      </w:pPr>
      <w:bookmarkStart w:id="0" w:name="_GoBack"/>
      <w:bookmarkEnd w:id="0"/>
    </w:p>
    <w:p>
      <w:pPr>
        <w:shd w:val="clear" w:color="auto" w:fill="FFFFFF"/>
        <w:tabs>
          <w:tab w:val="left" w:pos="1725"/>
          <w:tab w:val="center" w:pos="4215"/>
        </w:tabs>
        <w:spacing w:line="520" w:lineRule="exact"/>
        <w:ind w:firstLine="2349" w:firstLineChars="650"/>
        <w:outlineLvl w:val="0"/>
        <w:rPr>
          <w:rFonts w:ascii="仿宋" w:hAnsi="仿宋" w:eastAsia="仿宋"/>
          <w:b/>
          <w:sz w:val="36"/>
          <w:szCs w:val="36"/>
        </w:rPr>
      </w:pPr>
      <w:r>
        <w:rPr>
          <w:rFonts w:hint="eastAsia" w:ascii="仿宋" w:hAnsi="仿宋" w:eastAsia="仿宋"/>
          <w:b/>
          <w:sz w:val="36"/>
          <w:szCs w:val="36"/>
        </w:rPr>
        <w:t>南县住房和城乡建设局</w:t>
      </w:r>
    </w:p>
    <w:p>
      <w:pPr>
        <w:shd w:val="clear" w:color="auto" w:fill="FFFFFF"/>
        <w:tabs>
          <w:tab w:val="left" w:pos="1725"/>
          <w:tab w:val="center" w:pos="4215"/>
        </w:tabs>
        <w:spacing w:line="520" w:lineRule="exact"/>
        <w:ind w:firstLine="1446" w:firstLineChars="400"/>
        <w:outlineLvl w:val="0"/>
        <w:rPr>
          <w:rFonts w:ascii="仿宋" w:hAnsi="仿宋" w:eastAsia="仿宋"/>
          <w:b/>
          <w:sz w:val="36"/>
          <w:szCs w:val="36"/>
        </w:rPr>
      </w:pPr>
      <w:r>
        <w:rPr>
          <w:rFonts w:hint="eastAsia" w:ascii="仿宋" w:hAnsi="仿宋" w:eastAsia="仿宋"/>
          <w:b/>
          <w:sz w:val="36"/>
          <w:szCs w:val="36"/>
        </w:rPr>
        <w:t>2020年重点流域环境整治专项资金</w:t>
      </w:r>
    </w:p>
    <w:p>
      <w:pPr>
        <w:spacing w:line="520" w:lineRule="exact"/>
        <w:ind w:left="3045" w:leftChars="1450" w:firstLine="181" w:firstLineChars="50"/>
        <w:rPr>
          <w:rFonts w:ascii="仿宋" w:hAnsi="仿宋" w:eastAsia="仿宋"/>
          <w:b/>
          <w:sz w:val="36"/>
          <w:szCs w:val="36"/>
        </w:rPr>
      </w:pPr>
      <w:r>
        <w:rPr>
          <w:rFonts w:hint="eastAsia" w:ascii="仿宋" w:hAnsi="仿宋" w:eastAsia="仿宋"/>
          <w:b/>
          <w:sz w:val="36"/>
          <w:szCs w:val="36"/>
        </w:rPr>
        <w:t>绩效评价报告</w:t>
      </w:r>
    </w:p>
    <w:p>
      <w:pPr>
        <w:ind w:firstLine="2296" w:firstLineChars="700"/>
        <w:rPr>
          <w:rFonts w:ascii="仿宋" w:hAnsi="仿宋" w:eastAsia="仿宋"/>
          <w:spacing w:val="24"/>
          <w:sz w:val="28"/>
          <w:szCs w:val="28"/>
        </w:rPr>
      </w:pPr>
    </w:p>
    <w:p>
      <w:pPr>
        <w:ind w:firstLine="480" w:firstLineChars="200"/>
        <w:rPr>
          <w:rFonts w:ascii="仿宋" w:hAnsi="仿宋" w:eastAsia="仿宋"/>
          <w:sz w:val="24"/>
          <w:szCs w:val="24"/>
        </w:rPr>
      </w:pPr>
      <w:r>
        <w:rPr>
          <w:rFonts w:hint="eastAsia" w:ascii="仿宋" w:hAnsi="仿宋" w:eastAsia="仿宋"/>
          <w:sz w:val="24"/>
          <w:szCs w:val="24"/>
        </w:rPr>
        <w:t>为进一步规范财政资金管理，强化财政资金支出绩效理念，切实提高财政资金使用效益，根据《中共中央 国务院关于全面实施预算绩效管理的意见》（中发〔2018〕34号）、《中共湖南省委办公厅、湖南省人民政府办公厅关于全面实施绩效管理的实施意见》（湘办发〔2019〕10号）、《预算绩效管理工作考核办法》（湘财绩〔2015〕15号）、《关于对2020年度专项资金开展重点绩效评价工作的通知》（南财绩函〔2021〕10号）等文件要求，受南县财政局的委托，我所成立专项资金绩效评价工作组，于2021年4月20日—6月30日对南县住房和城乡建设局2020年度“重点流域环境整治专项资金”（以下简称项目资金）开展了绩效评价。现将有关情况报告如下：</w:t>
      </w:r>
    </w:p>
    <w:p>
      <w:pPr>
        <w:pStyle w:val="9"/>
        <w:ind w:firstLine="803" w:firstLineChars="250"/>
        <w:rPr>
          <w:rFonts w:ascii="仿宋" w:hAnsi="仿宋" w:eastAsia="仿宋"/>
          <w:b/>
          <w:sz w:val="32"/>
          <w:szCs w:val="32"/>
        </w:rPr>
      </w:pPr>
      <w:r>
        <w:rPr>
          <w:rFonts w:hint="eastAsia" w:ascii="仿宋" w:hAnsi="仿宋" w:eastAsia="仿宋"/>
          <w:b/>
          <w:sz w:val="32"/>
          <w:szCs w:val="32"/>
        </w:rPr>
        <w:t>一、基本情况</w:t>
      </w:r>
    </w:p>
    <w:p>
      <w:pPr>
        <w:overflowPunct w:val="0"/>
        <w:topLinePunct/>
        <w:spacing w:line="580" w:lineRule="exact"/>
        <w:ind w:left="319" w:leftChars="152" w:firstLine="241" w:firstLineChars="100"/>
        <w:textAlignment w:val="baseline"/>
        <w:rPr>
          <w:rFonts w:ascii="仿宋" w:hAnsi="仿宋" w:eastAsia="仿宋"/>
          <w:b/>
          <w:sz w:val="24"/>
          <w:szCs w:val="24"/>
        </w:rPr>
      </w:pPr>
      <w:r>
        <w:rPr>
          <w:rFonts w:hint="eastAsia" w:ascii="仿宋" w:hAnsi="仿宋" w:eastAsia="仿宋"/>
          <w:b/>
          <w:sz w:val="24"/>
          <w:szCs w:val="24"/>
        </w:rPr>
        <w:t>（一）项目单位基本情况。</w:t>
      </w:r>
    </w:p>
    <w:p>
      <w:pPr>
        <w:overflowPunct w:val="0"/>
        <w:topLinePunct/>
        <w:spacing w:line="580" w:lineRule="exact"/>
        <w:ind w:left="319" w:leftChars="152" w:firstLine="240" w:firstLineChars="100"/>
        <w:textAlignment w:val="baseline"/>
        <w:rPr>
          <w:rFonts w:ascii="仿宋" w:hAnsi="仿宋" w:eastAsia="仿宋"/>
          <w:sz w:val="24"/>
          <w:szCs w:val="24"/>
        </w:rPr>
      </w:pPr>
      <w:r>
        <w:rPr>
          <w:rFonts w:hint="eastAsia" w:ascii="仿宋" w:hAnsi="仿宋" w:eastAsia="仿宋"/>
          <w:sz w:val="24"/>
          <w:szCs w:val="24"/>
        </w:rPr>
        <w:t>1.机构设置及人员情况。南县住房和城乡建设局（人防办）属正科级行政单位，内设股室11个，所属事业单位10个（含二级独立核算事业单位德昌公园管理所）。全</w:t>
      </w:r>
      <w:r>
        <w:rPr>
          <w:rFonts w:hint="eastAsia" w:ascii="仿宋" w:hAnsi="仿宋" w:eastAsia="仿宋" w:cs="仿宋"/>
          <w:sz w:val="24"/>
          <w:szCs w:val="24"/>
        </w:rPr>
        <w:t>局实有职工人数169 人，其中：行政编制20人，全额事业编制61人，差额编制15人，自收自支编制25人，长期聘用人员6人，离休1人，退休41人。</w:t>
      </w:r>
    </w:p>
    <w:p>
      <w:pPr>
        <w:ind w:firstLine="480" w:firstLineChars="200"/>
        <w:rPr>
          <w:rFonts w:ascii="仿宋_GB2312" w:eastAsia="仿宋_GB2312"/>
          <w:sz w:val="32"/>
          <w:szCs w:val="32"/>
        </w:rPr>
      </w:pPr>
      <w:r>
        <w:rPr>
          <w:rFonts w:hint="eastAsia" w:ascii="仿宋" w:hAnsi="仿宋" w:eastAsia="仿宋"/>
          <w:sz w:val="24"/>
          <w:szCs w:val="24"/>
        </w:rPr>
        <w:t>2.主要工作职责。主要负责全县城乡建设、人民防空、房地产业管理、建筑市场管理与建设工程质量安全监督、供水供气、污水和黑臭水体治理、新型城镇化、农村危房改造、公园管理等工作</w:t>
      </w:r>
      <w:r>
        <w:rPr>
          <w:rFonts w:hint="eastAsia" w:ascii="仿宋_GB2312" w:eastAsia="仿宋_GB2312"/>
          <w:sz w:val="32"/>
          <w:szCs w:val="32"/>
        </w:rPr>
        <w:t>。</w:t>
      </w:r>
    </w:p>
    <w:p>
      <w:pPr>
        <w:pStyle w:val="5"/>
        <w:shd w:val="clear" w:color="auto" w:fill="FFFFFF"/>
        <w:spacing w:before="0" w:beforeAutospacing="0" w:after="0" w:afterAutospacing="0"/>
        <w:ind w:firstLine="482"/>
        <w:rPr>
          <w:rFonts w:ascii="仿宋" w:hAnsi="仿宋" w:eastAsia="仿宋"/>
          <w:b/>
        </w:rPr>
      </w:pPr>
      <w:r>
        <w:rPr>
          <w:rFonts w:hint="eastAsia" w:ascii="仿宋" w:hAnsi="仿宋" w:eastAsia="仿宋"/>
          <w:b/>
        </w:rPr>
        <w:t>（二）项目基本情况。</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b/>
        </w:rPr>
        <w:t>1.项目资金来源情况。</w:t>
      </w:r>
      <w:r>
        <w:rPr>
          <w:rFonts w:hint="eastAsia" w:ascii="仿宋" w:hAnsi="仿宋" w:eastAsia="仿宋"/>
        </w:rPr>
        <w:t>根据湖南省发展和改革委员会《关于重点流域水环境综合治理2019年中央预算内投资计划公示》中，南县通过的建设项目①南县乡镇污水处理厂项目，总投资6500万元；②南县10个乡镇污水厂配套管网工程，总投资12800万元。本次绩效评价重点流域水环境治理专项资金4700万元，根据湘财建一指〔2019〕41号文，其中南县10个乡镇污水厂配套管网工程3000万元，南县乡镇污水处理厂项目1700万元。</w:t>
      </w:r>
    </w:p>
    <w:p>
      <w:pPr>
        <w:snapToGrid w:val="0"/>
        <w:ind w:firstLine="482" w:firstLineChars="200"/>
        <w:rPr>
          <w:rFonts w:ascii="仿宋" w:hAnsi="仿宋" w:eastAsia="仿宋"/>
          <w:sz w:val="24"/>
          <w:szCs w:val="24"/>
        </w:rPr>
      </w:pPr>
      <w:r>
        <w:rPr>
          <w:rFonts w:hint="eastAsia" w:ascii="仿宋" w:hAnsi="仿宋" w:eastAsia="仿宋"/>
          <w:b/>
          <w:sz w:val="24"/>
          <w:szCs w:val="24"/>
        </w:rPr>
        <w:t>2.项目申报建设情况。</w:t>
      </w:r>
      <w:r>
        <w:rPr>
          <w:rFonts w:hint="eastAsia" w:ascii="仿宋" w:hAnsi="仿宋" w:eastAsia="仿宋"/>
          <w:sz w:val="24"/>
          <w:szCs w:val="24"/>
        </w:rPr>
        <w:t>根据项目单位提供的项目申报资料，该专项资金的使用主要是完成以下建设内容：</w:t>
      </w:r>
    </w:p>
    <w:p>
      <w:pPr>
        <w:snapToGrid w:val="0"/>
        <w:ind w:firstLine="480" w:firstLineChars="200"/>
        <w:rPr>
          <w:rFonts w:ascii="仿宋" w:hAnsi="仿宋" w:eastAsia="仿宋"/>
        </w:rPr>
      </w:pPr>
      <w:r>
        <w:rPr>
          <w:rFonts w:hint="eastAsia" w:ascii="仿宋" w:hAnsi="仿宋" w:eastAsia="仿宋"/>
          <w:sz w:val="24"/>
          <w:szCs w:val="24"/>
        </w:rPr>
        <w:t>①南县10个乡镇污水厂配套管网工程</w:t>
      </w:r>
      <w:r>
        <w:rPr>
          <w:rFonts w:hint="eastAsia" w:ascii="仿宋" w:hAnsi="仿宋" w:eastAsia="仿宋"/>
        </w:rPr>
        <w:t>。</w:t>
      </w:r>
    </w:p>
    <w:p>
      <w:pPr>
        <w:snapToGrid w:val="0"/>
        <w:ind w:firstLine="480" w:firstLineChars="200"/>
        <w:rPr>
          <w:rFonts w:ascii="仿宋" w:hAnsi="仿宋" w:eastAsia="仿宋" w:cs="仿宋_GB2312"/>
          <w:color w:val="000000"/>
          <w:sz w:val="24"/>
          <w:szCs w:val="24"/>
          <w:shd w:val="clear" w:color="auto" w:fill="FFFFFF"/>
        </w:rPr>
      </w:pPr>
      <w:r>
        <w:rPr>
          <w:rFonts w:hint="eastAsia" w:ascii="仿宋" w:hAnsi="仿宋" w:eastAsia="仿宋" w:cs="仿宋_GB2312"/>
          <w:color w:val="000000"/>
          <w:sz w:val="24"/>
          <w:szCs w:val="24"/>
          <w:shd w:val="clear" w:color="auto" w:fill="FFFFFF"/>
        </w:rPr>
        <w:t>新建污水管网约 115km，其中：华阁镇镇区 10530m、浪拔湖镇镇区 9408m、厂窖镇镇区 7853m、麻河口镇镇区 12198m、青树嘴镇镇区 13625m、三仙湖镇镇区 9583m、乌嘴乡镇区 11690m、武圣宫镇镇区 11135m、中鱼口乡镇区 5670m、明山头镇镇区 15094m、茅草街镇镇区 9024m。</w:t>
      </w:r>
    </w:p>
    <w:p>
      <w:pPr>
        <w:snapToGrid w:val="0"/>
        <w:ind w:firstLine="480" w:firstLineChars="200"/>
        <w:rPr>
          <w:rFonts w:ascii="仿宋" w:hAnsi="仿宋" w:eastAsia="仿宋"/>
          <w:sz w:val="24"/>
          <w:szCs w:val="24"/>
        </w:rPr>
      </w:pPr>
      <w:r>
        <w:rPr>
          <w:rFonts w:hint="eastAsia" w:ascii="仿宋" w:hAnsi="仿宋" w:eastAsia="仿宋" w:cs="仿宋_GB2312"/>
          <w:color w:val="000000"/>
          <w:sz w:val="24"/>
          <w:szCs w:val="24"/>
          <w:shd w:val="clear" w:color="auto" w:fill="FFFFFF"/>
        </w:rPr>
        <w:t>②</w:t>
      </w:r>
      <w:r>
        <w:rPr>
          <w:rFonts w:hint="eastAsia" w:ascii="仿宋" w:hAnsi="仿宋" w:eastAsia="仿宋"/>
          <w:sz w:val="24"/>
          <w:szCs w:val="24"/>
        </w:rPr>
        <w:t>南县乡镇污水处理厂项目。</w:t>
      </w:r>
    </w:p>
    <w:p>
      <w:pPr>
        <w:snapToGrid w:val="0"/>
        <w:ind w:firstLine="480" w:firstLineChars="200"/>
        <w:rPr>
          <w:rFonts w:ascii="仿宋" w:hAnsi="仿宋" w:eastAsia="仿宋" w:cs="仿宋_GB2312"/>
          <w:color w:val="333333"/>
          <w:sz w:val="24"/>
          <w:szCs w:val="24"/>
          <w:shd w:val="clear" w:color="auto" w:fill="FFFFFF"/>
        </w:rPr>
      </w:pPr>
      <w:r>
        <w:rPr>
          <w:rFonts w:hint="eastAsia" w:ascii="仿宋" w:hAnsi="仿宋" w:eastAsia="仿宋" w:cs="仿宋_GB2312"/>
          <w:color w:val="333333"/>
          <w:sz w:val="24"/>
          <w:szCs w:val="24"/>
          <w:shd w:val="clear" w:color="auto" w:fill="FFFFFF"/>
        </w:rPr>
        <w:t>南县乡镇污水处理工程共新建污水处理厂 10 座，近期建设总规模为7100m 3 /d。各乡镇建设规模如下：</w:t>
      </w:r>
    </w:p>
    <w:p>
      <w:pPr>
        <w:snapToGrid w:val="0"/>
        <w:ind w:firstLine="480" w:firstLineChars="200"/>
        <w:rPr>
          <w:rFonts w:ascii="仿宋" w:hAnsi="仿宋" w:eastAsia="仿宋" w:cs="仿宋_GB2312"/>
          <w:color w:val="333333"/>
          <w:sz w:val="24"/>
          <w:szCs w:val="24"/>
          <w:shd w:val="clear" w:color="auto" w:fill="FFFFFF"/>
        </w:rPr>
      </w:pPr>
      <w:r>
        <w:rPr>
          <w:rFonts w:hint="eastAsia" w:ascii="仿宋" w:hAnsi="仿宋" w:eastAsia="仿宋" w:cs="仿宋_GB2312"/>
          <w:color w:val="333333"/>
          <w:sz w:val="24"/>
          <w:szCs w:val="24"/>
          <w:shd w:val="clear" w:color="auto" w:fill="FFFFFF"/>
        </w:rPr>
        <w:t>（1）华阁镇远期设计规模 2000 m 3 /d，近期设计规模 1000 m 3 /d；</w:t>
      </w:r>
    </w:p>
    <w:p>
      <w:pPr>
        <w:snapToGrid w:val="0"/>
        <w:ind w:firstLine="480" w:firstLineChars="200"/>
        <w:rPr>
          <w:rFonts w:ascii="仿宋" w:hAnsi="仿宋" w:eastAsia="仿宋" w:cs="仿宋_GB2312"/>
          <w:color w:val="333333"/>
          <w:sz w:val="24"/>
          <w:szCs w:val="24"/>
          <w:shd w:val="clear" w:color="auto" w:fill="FFFFFF"/>
        </w:rPr>
      </w:pPr>
      <w:r>
        <w:rPr>
          <w:rFonts w:hint="eastAsia" w:ascii="仿宋" w:hAnsi="仿宋" w:eastAsia="仿宋" w:cs="仿宋_GB2312"/>
          <w:color w:val="333333"/>
          <w:sz w:val="24"/>
          <w:szCs w:val="24"/>
          <w:shd w:val="clear" w:color="auto" w:fill="FFFFFF"/>
        </w:rPr>
        <w:t>（2）浪拔湖远期设计规模 1000 m 3 /d，近期设计规模 500 m 3 /d；</w:t>
      </w:r>
    </w:p>
    <w:p>
      <w:pPr>
        <w:snapToGrid w:val="0"/>
        <w:ind w:firstLine="480" w:firstLineChars="200"/>
        <w:rPr>
          <w:rFonts w:ascii="仿宋" w:hAnsi="仿宋" w:eastAsia="仿宋" w:cs="仿宋_GB2312"/>
          <w:color w:val="333333"/>
          <w:sz w:val="24"/>
          <w:szCs w:val="24"/>
          <w:shd w:val="clear" w:color="auto" w:fill="FFFFFF"/>
        </w:rPr>
      </w:pPr>
      <w:r>
        <w:rPr>
          <w:rFonts w:hint="eastAsia" w:ascii="仿宋" w:hAnsi="仿宋" w:eastAsia="仿宋" w:cs="仿宋_GB2312"/>
          <w:color w:val="333333"/>
          <w:sz w:val="24"/>
          <w:szCs w:val="24"/>
          <w:shd w:val="clear" w:color="auto" w:fill="FFFFFF"/>
        </w:rPr>
        <w:t>（3）厂窖镇远期设计规模 1000 m 3 /d，近期设计规模 600 m 3 /d；</w:t>
      </w:r>
    </w:p>
    <w:p>
      <w:pPr>
        <w:snapToGrid w:val="0"/>
        <w:ind w:left="420" w:leftChars="200"/>
        <w:rPr>
          <w:rFonts w:ascii="仿宋" w:hAnsi="仿宋" w:eastAsia="仿宋" w:cs="仿宋_GB2312"/>
          <w:color w:val="333333"/>
          <w:sz w:val="24"/>
          <w:szCs w:val="24"/>
          <w:shd w:val="clear" w:color="auto" w:fill="FFFFFF"/>
        </w:rPr>
      </w:pPr>
      <w:r>
        <w:rPr>
          <w:rFonts w:hint="eastAsia" w:ascii="仿宋" w:hAnsi="仿宋" w:eastAsia="仿宋" w:cs="仿宋_GB2312"/>
          <w:color w:val="333333"/>
          <w:sz w:val="24"/>
          <w:szCs w:val="24"/>
          <w:shd w:val="clear" w:color="auto" w:fill="FFFFFF"/>
        </w:rPr>
        <w:t>（4）麻河口镇远期设计规模 1500 m 3 /d，近期设计规模 1000 m 3 /d；（5）青树嘴镇远期设计规模 1500 m 3 /d，近期设计规模 700 m 3 /d；</w:t>
      </w:r>
    </w:p>
    <w:p>
      <w:pPr>
        <w:snapToGrid w:val="0"/>
        <w:ind w:left="420" w:leftChars="200"/>
        <w:rPr>
          <w:rFonts w:ascii="仿宋" w:hAnsi="仿宋" w:eastAsia="仿宋" w:cs="仿宋_GB2312"/>
          <w:color w:val="333333"/>
          <w:sz w:val="24"/>
          <w:szCs w:val="24"/>
          <w:shd w:val="clear" w:color="auto" w:fill="FFFFFF"/>
        </w:rPr>
      </w:pPr>
      <w:r>
        <w:rPr>
          <w:rFonts w:hint="eastAsia" w:ascii="仿宋" w:hAnsi="仿宋" w:eastAsia="仿宋" w:cs="仿宋_GB2312"/>
          <w:color w:val="333333"/>
          <w:sz w:val="24"/>
          <w:szCs w:val="24"/>
          <w:shd w:val="clear" w:color="auto" w:fill="FFFFFF"/>
        </w:rPr>
        <w:t>（6）三仙镇远期设计规模 1200 m 3 /d，近期设计规模 800 m 3 /d；</w:t>
      </w:r>
    </w:p>
    <w:p>
      <w:pPr>
        <w:snapToGrid w:val="0"/>
        <w:ind w:left="420" w:leftChars="200"/>
        <w:rPr>
          <w:rFonts w:ascii="仿宋" w:hAnsi="仿宋" w:eastAsia="仿宋" w:cs="仿宋_GB2312"/>
          <w:color w:val="333333"/>
          <w:sz w:val="24"/>
          <w:szCs w:val="24"/>
          <w:shd w:val="clear" w:color="auto" w:fill="FFFFFF"/>
        </w:rPr>
      </w:pPr>
      <w:r>
        <w:rPr>
          <w:rFonts w:hint="eastAsia" w:ascii="仿宋" w:hAnsi="仿宋" w:eastAsia="仿宋" w:cs="仿宋_GB2312"/>
          <w:color w:val="333333"/>
          <w:sz w:val="24"/>
          <w:szCs w:val="24"/>
          <w:shd w:val="clear" w:color="auto" w:fill="FFFFFF"/>
        </w:rPr>
        <w:t>（7）乌嘴乡远期设计规模 1200 m 3 /d，近期设计规模 800 m 3 /d；</w:t>
      </w:r>
    </w:p>
    <w:p>
      <w:pPr>
        <w:snapToGrid w:val="0"/>
        <w:ind w:left="420" w:leftChars="200"/>
        <w:rPr>
          <w:rFonts w:ascii="仿宋" w:hAnsi="仿宋" w:eastAsia="仿宋" w:cs="仿宋_GB2312"/>
          <w:color w:val="333333"/>
          <w:sz w:val="24"/>
          <w:szCs w:val="24"/>
          <w:shd w:val="clear" w:color="auto" w:fill="FFFFFF"/>
        </w:rPr>
      </w:pPr>
      <w:r>
        <w:rPr>
          <w:rFonts w:hint="eastAsia" w:ascii="仿宋" w:hAnsi="仿宋" w:eastAsia="仿宋" w:cs="仿宋_GB2312"/>
          <w:color w:val="333333"/>
          <w:sz w:val="24"/>
          <w:szCs w:val="24"/>
          <w:shd w:val="clear" w:color="auto" w:fill="FFFFFF"/>
        </w:rPr>
        <w:t>（8）武圣宫镇远期设计规模 1000 m 3 /d，近期设计规模 600 m 3 /d；</w:t>
      </w:r>
    </w:p>
    <w:p>
      <w:pPr>
        <w:snapToGrid w:val="0"/>
        <w:ind w:left="420" w:leftChars="200"/>
        <w:rPr>
          <w:rFonts w:ascii="仿宋" w:hAnsi="仿宋" w:eastAsia="仿宋" w:cs="仿宋_GB2312"/>
          <w:color w:val="333333"/>
          <w:sz w:val="24"/>
          <w:szCs w:val="24"/>
          <w:shd w:val="clear" w:color="auto" w:fill="FFFFFF"/>
        </w:rPr>
      </w:pPr>
      <w:r>
        <w:rPr>
          <w:rFonts w:hint="eastAsia" w:ascii="仿宋" w:hAnsi="仿宋" w:eastAsia="仿宋" w:cs="仿宋_GB2312"/>
          <w:color w:val="333333"/>
          <w:sz w:val="24"/>
          <w:szCs w:val="24"/>
          <w:shd w:val="clear" w:color="auto" w:fill="FFFFFF"/>
        </w:rPr>
        <w:t>（9）中鱼口乡远期设计规模 1000 m 3 /d，近期设计规模 500 m 3 /d；</w:t>
      </w:r>
    </w:p>
    <w:p>
      <w:pPr>
        <w:snapToGrid w:val="0"/>
        <w:ind w:firstLine="360" w:firstLineChars="150"/>
        <w:rPr>
          <w:rFonts w:ascii="仿宋" w:hAnsi="仿宋" w:eastAsia="仿宋"/>
          <w:sz w:val="24"/>
          <w:szCs w:val="24"/>
        </w:rPr>
      </w:pPr>
      <w:r>
        <w:rPr>
          <w:rFonts w:hint="eastAsia" w:ascii="仿宋" w:hAnsi="仿宋" w:eastAsia="仿宋" w:cs="仿宋_GB2312"/>
          <w:color w:val="333333"/>
          <w:sz w:val="24"/>
          <w:szCs w:val="24"/>
          <w:shd w:val="clear" w:color="auto" w:fill="FFFFFF"/>
        </w:rPr>
        <w:t>（10）明山头镇远期设计规模 1000 m 3 /d，近期设计规模 600 m 3 /d。</w:t>
      </w:r>
    </w:p>
    <w:p>
      <w:pPr>
        <w:pStyle w:val="5"/>
        <w:shd w:val="clear" w:color="auto" w:fill="FFFFFF"/>
        <w:spacing w:before="0" w:beforeAutospacing="0" w:after="0" w:afterAutospacing="0"/>
        <w:ind w:firstLine="241" w:firstLineChars="100"/>
        <w:rPr>
          <w:rFonts w:ascii="仿宋" w:hAnsi="仿宋" w:eastAsia="仿宋"/>
          <w:b/>
        </w:rPr>
      </w:pPr>
      <w:r>
        <w:rPr>
          <w:rFonts w:hint="eastAsia" w:ascii="仿宋" w:hAnsi="仿宋" w:eastAsia="仿宋"/>
          <w:b/>
        </w:rPr>
        <w:t>（三）项目绩效目标设定情况。</w:t>
      </w:r>
    </w:p>
    <w:p>
      <w:pPr>
        <w:pStyle w:val="5"/>
        <w:shd w:val="clear" w:color="auto" w:fill="FFFFFF"/>
        <w:spacing w:before="0" w:beforeAutospacing="0" w:after="0" w:afterAutospacing="0"/>
        <w:ind w:firstLine="240" w:firstLineChars="100"/>
        <w:rPr>
          <w:rFonts w:ascii="仿宋" w:hAnsi="仿宋" w:eastAsia="仿宋"/>
        </w:rPr>
      </w:pPr>
      <w:r>
        <w:rPr>
          <w:rFonts w:hint="eastAsia" w:ascii="仿宋" w:hAnsi="仿宋" w:eastAsia="仿宋"/>
        </w:rPr>
        <w:t>1.数量指标：全年完成处理生活用水700万吨以上；完成一污提标改质工程；完成三污四污建设及管网工程；</w:t>
      </w:r>
      <w:r>
        <w:rPr>
          <w:rFonts w:hint="eastAsia" w:ascii="仿宋" w:hAnsi="仿宋" w:eastAsia="仿宋" w:cs="仿宋"/>
        </w:rPr>
        <w:t>完成茅草街镇八百弓集镇污水处理站建设，处理规模200吨/天，配套污水管网约4000米；完成乡镇污水管网补短板工程，新建管网23公里；茅草街污水处理厂、第一污水处理厂、第二污水处理厂、其他乡镇污水处理等四个项目，完成各污水处理厂水质检测提标及设施设备运营监管；完成年度污水处理核算。</w:t>
      </w:r>
    </w:p>
    <w:p>
      <w:pPr>
        <w:pStyle w:val="5"/>
        <w:shd w:val="clear" w:color="auto" w:fill="FFFFFF"/>
        <w:spacing w:before="0" w:beforeAutospacing="0" w:after="0" w:afterAutospacing="0"/>
        <w:ind w:firstLine="240" w:firstLineChars="100"/>
        <w:rPr>
          <w:rFonts w:ascii="仿宋" w:hAnsi="仿宋" w:eastAsia="仿宋"/>
        </w:rPr>
      </w:pPr>
      <w:r>
        <w:rPr>
          <w:rFonts w:hint="eastAsia" w:ascii="仿宋" w:hAnsi="仿宋" w:eastAsia="仿宋"/>
        </w:rPr>
        <w:t>2.质量指标：出水水质达到一级A类。</w:t>
      </w:r>
    </w:p>
    <w:p>
      <w:pPr>
        <w:pStyle w:val="5"/>
        <w:shd w:val="clear" w:color="auto" w:fill="FFFFFF"/>
        <w:spacing w:before="0" w:beforeAutospacing="0" w:after="0" w:afterAutospacing="0"/>
        <w:ind w:firstLine="240" w:firstLineChars="100"/>
        <w:rPr>
          <w:rFonts w:ascii="仿宋" w:hAnsi="仿宋" w:eastAsia="仿宋"/>
        </w:rPr>
      </w:pPr>
      <w:r>
        <w:rPr>
          <w:rFonts w:hint="eastAsia" w:ascii="仿宋" w:hAnsi="仿宋" w:eastAsia="仿宋"/>
        </w:rPr>
        <w:t>3.成本指标：完成投资额4700万元。</w:t>
      </w:r>
    </w:p>
    <w:p>
      <w:pPr>
        <w:pStyle w:val="5"/>
        <w:shd w:val="clear" w:color="auto" w:fill="FFFFFF"/>
        <w:spacing w:before="0" w:beforeAutospacing="0" w:after="0" w:afterAutospacing="0"/>
        <w:ind w:firstLine="240" w:firstLineChars="100"/>
        <w:rPr>
          <w:rFonts w:ascii="仿宋" w:hAnsi="仿宋" w:eastAsia="仿宋"/>
        </w:rPr>
      </w:pPr>
      <w:r>
        <w:rPr>
          <w:rFonts w:hint="eastAsia" w:ascii="仿宋" w:hAnsi="仿宋" w:eastAsia="仿宋"/>
        </w:rPr>
        <w:t>4.环境效益指标：消减cod、氨氮、总磷、总氮等污质，修复水环境污染，提升南县的水质，改善洞庭湖流域生态环境，进而修复长江经济带的生态系统。</w:t>
      </w:r>
    </w:p>
    <w:p>
      <w:pPr>
        <w:pStyle w:val="5"/>
        <w:shd w:val="clear" w:color="auto" w:fill="FFFFFF"/>
        <w:spacing w:before="0" w:beforeAutospacing="0" w:after="0" w:afterAutospacing="0"/>
        <w:ind w:firstLine="241" w:firstLineChars="100"/>
        <w:rPr>
          <w:rFonts w:ascii="仿宋" w:hAnsi="仿宋" w:eastAsia="仿宋"/>
        </w:rPr>
      </w:pPr>
      <w:r>
        <w:rPr>
          <w:rFonts w:hint="eastAsia" w:ascii="仿宋" w:hAnsi="仿宋" w:eastAsia="仿宋"/>
          <w:b/>
        </w:rPr>
        <w:t>（四）项目绩效目标完成情况。</w:t>
      </w:r>
      <w:r>
        <w:rPr>
          <w:rFonts w:hint="eastAsia" w:ascii="仿宋" w:hAnsi="仿宋" w:eastAsia="仿宋"/>
        </w:rPr>
        <w:t>2020年南县住房和城乡建设局在县委、县政府的正确领导下，绩效目标完成如下：</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1.乡镇管网配套建设情况。乡镇污水管网建设55.71公里，完成绩效目标的48.44%。其中，</w:t>
      </w:r>
      <w:r>
        <w:rPr>
          <w:rFonts w:hint="eastAsia" w:ascii="仿宋" w:hAnsi="仿宋" w:eastAsia="仿宋" w:cs="仿宋_GB2312"/>
          <w:shd w:val="clear" w:color="auto" w:fill="FFFFFF"/>
        </w:rPr>
        <w:t>华阁镇镇区 10060m、浪拔湖镇镇区 2200m、厂窖镇镇区 7200m、麻河口镇镇区 3700m、青树嘴镇镇区 2700m、三仙湖镇镇区 7000m、乌嘴乡镇区 4000m、武圣宫镇镇区 2000m、中鱼口乡镇区 550m、明山头镇镇区 8100m、茅草街镇镇区 8200m。</w:t>
      </w:r>
    </w:p>
    <w:p>
      <w:pPr>
        <w:pStyle w:val="5"/>
        <w:shd w:val="clear" w:color="auto" w:fill="FFFFFF"/>
        <w:spacing w:before="0" w:beforeAutospacing="0" w:after="0" w:afterAutospacing="0"/>
        <w:rPr>
          <w:rFonts w:ascii="仿宋" w:hAnsi="仿宋" w:eastAsia="仿宋" w:cs="仿宋"/>
        </w:rPr>
      </w:pPr>
      <w:r>
        <w:rPr>
          <w:rFonts w:hint="eastAsia" w:ascii="仿宋" w:hAnsi="仿宋" w:eastAsia="仿宋"/>
          <w:color w:val="FF0000"/>
        </w:rPr>
        <w:t xml:space="preserve">   </w:t>
      </w:r>
      <w:r>
        <w:rPr>
          <w:rFonts w:hint="eastAsia" w:ascii="仿宋" w:hAnsi="仿宋" w:eastAsia="仿宋"/>
        </w:rPr>
        <w:t xml:space="preserve"> 2.乡镇污水处理厂建设情况。完成2座污水处理站建设，占绩效目标的20%，分别是</w:t>
      </w:r>
      <w:r>
        <w:rPr>
          <w:rFonts w:hint="eastAsia" w:ascii="仿宋" w:hAnsi="仿宋" w:eastAsia="仿宋" w:cs="仿宋"/>
        </w:rPr>
        <w:t>华阁镇河口社区污水处理站和茅草街镇八百弓污水处理站。</w:t>
      </w:r>
    </w:p>
    <w:p>
      <w:pPr>
        <w:pStyle w:val="5"/>
        <w:shd w:val="clear" w:color="auto" w:fill="FFFFFF"/>
        <w:spacing w:before="0" w:beforeAutospacing="0" w:after="0" w:afterAutospacing="0"/>
        <w:rPr>
          <w:rFonts w:ascii="仿宋" w:hAnsi="仿宋" w:eastAsia="仿宋"/>
        </w:rPr>
      </w:pPr>
      <w:r>
        <w:rPr>
          <w:rFonts w:hint="eastAsia" w:ascii="仿宋" w:hAnsi="仿宋" w:eastAsia="仿宋" w:cs="仿宋"/>
        </w:rPr>
        <w:t xml:space="preserve">    </w:t>
      </w:r>
    </w:p>
    <w:p>
      <w:pPr>
        <w:ind w:firstLine="482" w:firstLineChars="150"/>
        <w:rPr>
          <w:rFonts w:ascii="仿宋" w:hAnsi="仿宋" w:eastAsia="仿宋"/>
          <w:b/>
          <w:sz w:val="32"/>
          <w:szCs w:val="32"/>
        </w:rPr>
      </w:pPr>
      <w:r>
        <w:rPr>
          <w:rFonts w:hint="eastAsia" w:ascii="仿宋" w:hAnsi="仿宋" w:eastAsia="仿宋"/>
          <w:b/>
          <w:sz w:val="32"/>
          <w:szCs w:val="32"/>
        </w:rPr>
        <w:t>二、项目资金使用及管理情况</w:t>
      </w:r>
    </w:p>
    <w:p>
      <w:pPr>
        <w:ind w:firstLine="482" w:firstLineChars="200"/>
        <w:rPr>
          <w:rFonts w:ascii="仿宋" w:hAnsi="仿宋" w:eastAsia="仿宋"/>
          <w:sz w:val="24"/>
          <w:szCs w:val="24"/>
        </w:rPr>
      </w:pPr>
      <w:r>
        <w:rPr>
          <w:rFonts w:hint="eastAsia" w:ascii="仿宋" w:hAnsi="仿宋" w:eastAsia="仿宋"/>
          <w:b/>
          <w:sz w:val="24"/>
          <w:szCs w:val="24"/>
        </w:rPr>
        <w:t>（一）项目资金到位情况。</w:t>
      </w:r>
      <w:r>
        <w:rPr>
          <w:rFonts w:hint="eastAsia" w:ascii="仿宋" w:hAnsi="仿宋" w:eastAsia="仿宋"/>
          <w:sz w:val="24"/>
          <w:szCs w:val="24"/>
        </w:rPr>
        <w:t>“重点流域环境整治”专项资金中央预算4700万元，由省级财政下达中央预算基建资金4700万元。2019年下达南县10个乡镇污水厂配套管网工程指标额度3000万元，2020年下达南县乡镇污水处理厂指标额度1700万元，资金到位率100%。</w:t>
      </w:r>
    </w:p>
    <w:p>
      <w:pPr>
        <w:ind w:firstLine="482" w:firstLineChars="200"/>
        <w:rPr>
          <w:rFonts w:ascii="仿宋" w:hAnsi="仿宋" w:eastAsia="仿宋"/>
          <w:sz w:val="24"/>
          <w:szCs w:val="24"/>
        </w:rPr>
      </w:pPr>
      <w:r>
        <w:rPr>
          <w:rFonts w:hint="eastAsia" w:ascii="仿宋" w:hAnsi="仿宋" w:eastAsia="仿宋"/>
          <w:b/>
          <w:color w:val="000000" w:themeColor="text1"/>
          <w:sz w:val="24"/>
          <w:szCs w:val="24"/>
        </w:rPr>
        <w:t>（二）项目资金</w:t>
      </w:r>
      <w:r>
        <w:rPr>
          <w:rFonts w:hint="eastAsia" w:ascii="仿宋" w:hAnsi="仿宋" w:eastAsia="仿宋"/>
          <w:b/>
          <w:sz w:val="24"/>
          <w:szCs w:val="24"/>
        </w:rPr>
        <w:t>使用</w:t>
      </w:r>
      <w:r>
        <w:rPr>
          <w:rFonts w:hint="eastAsia" w:ascii="仿宋" w:hAnsi="仿宋" w:eastAsia="仿宋"/>
          <w:b/>
          <w:color w:val="000000" w:themeColor="text1"/>
          <w:sz w:val="24"/>
          <w:szCs w:val="24"/>
        </w:rPr>
        <w:t>情况。</w:t>
      </w:r>
      <w:r>
        <w:rPr>
          <w:rFonts w:hint="eastAsia" w:ascii="仿宋" w:hAnsi="仿宋" w:eastAsia="仿宋"/>
          <w:color w:val="000000" w:themeColor="text1"/>
          <w:sz w:val="24"/>
          <w:szCs w:val="24"/>
        </w:rPr>
        <w:t>南县住房和城乡建设局2020年度“污水处理工程管理专项资金”</w:t>
      </w:r>
      <w:r>
        <w:rPr>
          <w:rFonts w:hint="eastAsia" w:ascii="仿宋" w:hAnsi="仿宋" w:eastAsia="仿宋"/>
          <w:sz w:val="24"/>
          <w:szCs w:val="24"/>
        </w:rPr>
        <w:t>预算安排4700万元，其中2019年使用1554.96万元，2020年使用2700.98万元，2021年使用89.42万元，合计使用资金4345.36万元（截止到2021年4月），结余资金354.64万元，资金使用率92.45%。</w:t>
      </w:r>
    </w:p>
    <w:p>
      <w:pPr>
        <w:ind w:firstLine="480" w:firstLineChars="200"/>
        <w:rPr>
          <w:rFonts w:ascii="仿宋" w:hAnsi="仿宋" w:eastAsia="仿宋"/>
          <w:sz w:val="24"/>
          <w:szCs w:val="24"/>
        </w:rPr>
      </w:pPr>
      <w:r>
        <w:rPr>
          <w:rFonts w:hint="eastAsia" w:ascii="仿宋" w:hAnsi="仿宋" w:eastAsia="仿宋"/>
          <w:sz w:val="24"/>
          <w:szCs w:val="24"/>
        </w:rPr>
        <w:t>项目单位统计项目资金使用金额为4349.37万元，相差4万元。我所绩效评价组，经过核实，该4万元项目单位未实际支付，而是挂账。</w:t>
      </w:r>
    </w:p>
    <w:p>
      <w:pPr>
        <w:ind w:firstLine="480" w:firstLineChars="200"/>
        <w:rPr>
          <w:rFonts w:ascii="仿宋" w:hAnsi="仿宋" w:eastAsia="仿宋"/>
          <w:sz w:val="24"/>
          <w:szCs w:val="24"/>
        </w:rPr>
      </w:pPr>
      <w:r>
        <w:rPr>
          <w:rFonts w:hint="eastAsia" w:ascii="仿宋" w:hAnsi="仿宋" w:eastAsia="仿宋"/>
          <w:sz w:val="24"/>
          <w:szCs w:val="24"/>
        </w:rPr>
        <w:t>该项目资金支出共涉及15项，其中：南县县城第一污水处理厂提标改造支出2479.44万元，占该专项资金使用总额的57.06%；茅草街污水处理厂BOT项目470万元，占该专项资金使用总额的10.82%；三污四污处理厂267.47万元，占该专项资金使用总额的6.16%；茅草街八百弓污水处理站212.89万元，占该专项资金使用总额的4.90%；华阁社区污水处理站174.18万，占该专项资金使用总额的4.01%；二级机构拨款157.33万元，占该专项资金使用总额的3.62%</w:t>
      </w:r>
    </w:p>
    <w:p>
      <w:pPr>
        <w:rPr>
          <w:rFonts w:ascii="仿宋" w:hAnsi="仿宋" w:eastAsia="仿宋"/>
          <w:sz w:val="24"/>
          <w:szCs w:val="24"/>
        </w:rPr>
      </w:pPr>
      <w:r>
        <w:rPr>
          <w:rFonts w:hint="eastAsia" w:ascii="仿宋" w:hAnsi="仿宋" w:eastAsia="仿宋"/>
          <w:sz w:val="24"/>
          <w:szCs w:val="24"/>
        </w:rPr>
        <w:t>具体项目支出明细如下：单位元</w:t>
      </w:r>
    </w:p>
    <w:tbl>
      <w:tblPr>
        <w:tblStyle w:val="6"/>
        <w:tblW w:w="8379" w:type="dxa"/>
        <w:tblInd w:w="93" w:type="dxa"/>
        <w:tblLayout w:type="autofit"/>
        <w:tblCellMar>
          <w:top w:w="0" w:type="dxa"/>
          <w:left w:w="108" w:type="dxa"/>
          <w:bottom w:w="0" w:type="dxa"/>
          <w:right w:w="108" w:type="dxa"/>
        </w:tblCellMar>
      </w:tblPr>
      <w:tblGrid>
        <w:gridCol w:w="700"/>
        <w:gridCol w:w="4560"/>
        <w:gridCol w:w="1985"/>
        <w:gridCol w:w="1134"/>
      </w:tblGrid>
      <w:tr>
        <w:tblPrEx>
          <w:tblCellMar>
            <w:top w:w="0" w:type="dxa"/>
            <w:left w:w="108" w:type="dxa"/>
            <w:bottom w:w="0" w:type="dxa"/>
            <w:right w:w="108" w:type="dxa"/>
          </w:tblCellMar>
        </w:tblPrEx>
        <w:trPr>
          <w:trHeight w:val="585" w:hRule="atLeast"/>
        </w:trPr>
        <w:tc>
          <w:tcPr>
            <w:tcW w:w="70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4560" w:type="dxa"/>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项目类别</w:t>
            </w:r>
          </w:p>
        </w:tc>
        <w:tc>
          <w:tcPr>
            <w:tcW w:w="1985" w:type="dxa"/>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实际使用金额</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占实际使用总额比</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南县第一污水处理厂提标</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24,794,045.07</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57.06%</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茅草街污水处理厂BOT项目</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4,700,000.00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10.82%</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三污四污处理厂</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2,674,683.00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6.16%</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华阁河口社区污水处理站</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1,741,761.00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4.01%</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二级机构拨款</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1,573,344.00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3.62%</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华阁河口东岸西岸污水处理站</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1,244,720.00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2.86%</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集镇及农村污水处理PPP</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530,000.00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1.22%</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茅草街八百弓污水处理站工程</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2,128,880.00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4.90%</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明山头镇南剅村污水处理站配套管网工程</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331,600.00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0.76%</w:t>
            </w:r>
          </w:p>
        </w:tc>
      </w:tr>
      <w:tr>
        <w:tblPrEx>
          <w:tblCellMar>
            <w:top w:w="0" w:type="dxa"/>
            <w:left w:w="108" w:type="dxa"/>
            <w:bottom w:w="0" w:type="dxa"/>
            <w:right w:w="108" w:type="dxa"/>
          </w:tblCellMar>
        </w:tblPrEx>
        <w:trPr>
          <w:trHeight w:val="312" w:hRule="atLeast"/>
        </w:trPr>
        <w:tc>
          <w:tcPr>
            <w:tcW w:w="700" w:type="dxa"/>
            <w:vMerge w:val="restart"/>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4560" w:type="dxa"/>
            <w:vMerge w:val="restart"/>
            <w:tcBorders>
              <w:top w:val="nil"/>
              <w:left w:val="single" w:color="000000" w:sz="8" w:space="0"/>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黑臭水治理</w:t>
            </w:r>
          </w:p>
        </w:tc>
        <w:tc>
          <w:tcPr>
            <w:tcW w:w="1985" w:type="dxa"/>
            <w:vMerge w:val="restart"/>
            <w:tcBorders>
              <w:top w:val="nil"/>
              <w:left w:val="single" w:color="000000" w:sz="8" w:space="0"/>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1,053,425.83</w:t>
            </w:r>
          </w:p>
        </w:tc>
        <w:tc>
          <w:tcPr>
            <w:tcW w:w="1134" w:type="dxa"/>
            <w:vMerge w:val="restart"/>
            <w:tcBorders>
              <w:top w:val="nil"/>
              <w:left w:val="single" w:color="000000" w:sz="8" w:space="0"/>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2.42%</w:t>
            </w:r>
          </w:p>
        </w:tc>
      </w:tr>
      <w:tr>
        <w:tblPrEx>
          <w:tblCellMar>
            <w:top w:w="0" w:type="dxa"/>
            <w:left w:w="108" w:type="dxa"/>
            <w:bottom w:w="0" w:type="dxa"/>
            <w:right w:w="108" w:type="dxa"/>
          </w:tblCellMar>
        </w:tblPrEx>
        <w:trPr>
          <w:trHeight w:val="312" w:hRule="atLeast"/>
        </w:trPr>
        <w:tc>
          <w:tcPr>
            <w:tcW w:w="700" w:type="dxa"/>
            <w:vMerge w:val="continue"/>
            <w:tcBorders>
              <w:top w:val="nil"/>
              <w:left w:val="single" w:color="000000" w:sz="8" w:space="0"/>
              <w:bottom w:val="single" w:color="000000" w:sz="8" w:space="0"/>
              <w:right w:val="single" w:color="000000" w:sz="8" w:space="0"/>
            </w:tcBorders>
            <w:vAlign w:val="center"/>
          </w:tcPr>
          <w:p>
            <w:pPr>
              <w:spacing w:line="240" w:lineRule="auto"/>
              <w:rPr>
                <w:rFonts w:ascii="仿宋" w:hAnsi="仿宋" w:eastAsia="仿宋" w:cs="宋体"/>
                <w:color w:val="000000"/>
                <w:kern w:val="0"/>
                <w:sz w:val="24"/>
                <w:szCs w:val="24"/>
              </w:rPr>
            </w:pPr>
          </w:p>
        </w:tc>
        <w:tc>
          <w:tcPr>
            <w:tcW w:w="4560" w:type="dxa"/>
            <w:vMerge w:val="continue"/>
            <w:tcBorders>
              <w:top w:val="nil"/>
              <w:left w:val="single" w:color="000000" w:sz="8" w:space="0"/>
              <w:bottom w:val="single" w:color="000000" w:sz="8" w:space="0"/>
              <w:right w:val="single" w:color="000000" w:sz="8" w:space="0"/>
            </w:tcBorders>
            <w:vAlign w:val="center"/>
          </w:tcPr>
          <w:p>
            <w:pPr>
              <w:spacing w:line="240" w:lineRule="auto"/>
              <w:rPr>
                <w:rFonts w:ascii="仿宋" w:hAnsi="仿宋" w:eastAsia="仿宋" w:cs="宋体"/>
                <w:color w:val="000000"/>
                <w:kern w:val="0"/>
                <w:sz w:val="24"/>
                <w:szCs w:val="24"/>
              </w:rPr>
            </w:pPr>
          </w:p>
        </w:tc>
        <w:tc>
          <w:tcPr>
            <w:tcW w:w="1985" w:type="dxa"/>
            <w:vMerge w:val="continue"/>
            <w:tcBorders>
              <w:top w:val="nil"/>
              <w:left w:val="single" w:color="000000" w:sz="8" w:space="0"/>
              <w:bottom w:val="single" w:color="000000" w:sz="8" w:space="0"/>
              <w:right w:val="single" w:color="000000" w:sz="8" w:space="0"/>
            </w:tcBorders>
            <w:vAlign w:val="center"/>
          </w:tcPr>
          <w:p>
            <w:pPr>
              <w:spacing w:line="240" w:lineRule="auto"/>
              <w:rPr>
                <w:rFonts w:ascii="仿宋" w:hAnsi="仿宋" w:eastAsia="仿宋" w:cs="宋体"/>
                <w:color w:val="000000"/>
                <w:kern w:val="0"/>
                <w:sz w:val="24"/>
                <w:szCs w:val="24"/>
              </w:rPr>
            </w:pPr>
          </w:p>
        </w:tc>
        <w:tc>
          <w:tcPr>
            <w:tcW w:w="1134" w:type="dxa"/>
            <w:vMerge w:val="continue"/>
            <w:tcBorders>
              <w:top w:val="nil"/>
              <w:left w:val="single" w:color="000000" w:sz="8" w:space="0"/>
              <w:bottom w:val="single" w:color="000000" w:sz="8" w:space="0"/>
              <w:right w:val="single" w:color="000000" w:sz="8" w:space="0"/>
            </w:tcBorders>
            <w:vAlign w:val="center"/>
          </w:tcPr>
          <w:p>
            <w:pPr>
              <w:spacing w:line="240" w:lineRule="auto"/>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45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茅草街船闸下水道改造</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800,000.00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1.84%</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乡镇污水管网补短板项目设计咨询</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248,000.00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0.57%</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县城重点地段绿化景观修建规划编制费</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290,000.00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0.67%</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拨付乡镇水环境治理工作经费</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1,280,000.00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2.95%</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45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其他费用</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63,235.00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0.15%</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8" w:space="0"/>
              <w:right w:val="single" w:color="000000" w:sz="8"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4560"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1985"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43,453,693.90</w:t>
            </w:r>
          </w:p>
        </w:tc>
        <w:tc>
          <w:tcPr>
            <w:tcW w:w="1134" w:type="dxa"/>
            <w:tcBorders>
              <w:top w:val="nil"/>
              <w:left w:val="nil"/>
              <w:bottom w:val="single" w:color="000000" w:sz="8" w:space="0"/>
              <w:right w:val="single" w:color="000000" w:sz="8"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100.00%</w:t>
            </w:r>
          </w:p>
        </w:tc>
      </w:tr>
    </w:tbl>
    <w:p>
      <w:pPr>
        <w:rPr>
          <w:rFonts w:ascii="仿宋" w:hAnsi="仿宋" w:eastAsia="仿宋"/>
          <w:sz w:val="24"/>
          <w:szCs w:val="24"/>
        </w:rPr>
      </w:pPr>
      <w:r>
        <w:rPr>
          <w:rFonts w:hint="eastAsia" w:ascii="仿宋" w:hAnsi="仿宋" w:eastAsia="仿宋"/>
          <w:sz w:val="24"/>
          <w:szCs w:val="24"/>
        </w:rPr>
        <w:t>具体项目明细详见附表1各分项目明细表。</w:t>
      </w:r>
    </w:p>
    <w:p>
      <w:pPr>
        <w:rPr>
          <w:rFonts w:ascii="仿宋" w:hAnsi="仿宋" w:eastAsia="仿宋"/>
          <w:sz w:val="24"/>
          <w:szCs w:val="24"/>
        </w:rPr>
      </w:pPr>
      <w:r>
        <w:rPr>
          <w:rFonts w:hint="eastAsia" w:ascii="仿宋" w:hAnsi="仿宋" w:eastAsia="仿宋"/>
          <w:color w:val="000000" w:themeColor="text1"/>
          <w:sz w:val="24"/>
          <w:szCs w:val="24"/>
        </w:rPr>
        <w:t xml:space="preserve">  （三）项目资金管理情况。南县住房和城乡建设局在资金使用上严格遵守国家财经法规、有关专项资金管理规定和本单位财务管理制度。拨付下属机构的</w:t>
      </w:r>
      <w:r>
        <w:rPr>
          <w:rFonts w:hint="eastAsia" w:ascii="仿宋" w:hAnsi="仿宋" w:eastAsia="仿宋"/>
          <w:sz w:val="24"/>
          <w:szCs w:val="24"/>
        </w:rPr>
        <w:t>项目资金，先由下属机构提出用款申请报告，经过审核、审批后，县住建局再支付到下属机构账户。其他日常费用报销程序基本合规，资金管理基本到位。</w:t>
      </w:r>
    </w:p>
    <w:p>
      <w:pPr>
        <w:rPr>
          <w:rFonts w:ascii="仿宋" w:hAnsi="仿宋" w:eastAsia="仿宋"/>
          <w:color w:val="000000" w:themeColor="text1"/>
          <w:sz w:val="24"/>
          <w:szCs w:val="24"/>
        </w:rPr>
      </w:pPr>
    </w:p>
    <w:p>
      <w:pPr>
        <w:ind w:left="760"/>
        <w:rPr>
          <w:rFonts w:ascii="仿宋" w:hAnsi="仿宋" w:eastAsia="仿宋"/>
          <w:b/>
          <w:sz w:val="32"/>
          <w:szCs w:val="32"/>
        </w:rPr>
      </w:pPr>
      <w:r>
        <w:rPr>
          <w:rFonts w:hint="eastAsia" w:ascii="仿宋" w:hAnsi="仿宋" w:eastAsia="仿宋"/>
          <w:b/>
          <w:sz w:val="32"/>
          <w:szCs w:val="32"/>
        </w:rPr>
        <w:t>三、项目组织实施情况</w:t>
      </w:r>
    </w:p>
    <w:p>
      <w:pPr>
        <w:ind w:firstLine="480" w:firstLineChars="200"/>
        <w:rPr>
          <w:rFonts w:ascii="仿宋_GB2312" w:eastAsia="仿宋_GB2312"/>
          <w:sz w:val="32"/>
          <w:szCs w:val="32"/>
        </w:rPr>
      </w:pPr>
      <w:r>
        <w:rPr>
          <w:rFonts w:hint="eastAsia" w:ascii="仿宋" w:hAnsi="仿宋" w:eastAsia="仿宋"/>
          <w:sz w:val="24"/>
          <w:szCs w:val="24"/>
        </w:rPr>
        <w:t>（一）制度建设情况。为进一步规范财政资金管理，强化财政资金支出绩效理念，切实提高财政资金使用效益，南县住房和城乡建设局完善了《南县住房和城乡建设局机关管理制度》、《南县住房和城乡建设局财务管理制度》及《专项资金管理制度》等一系列资金内控管理制度。明确责任、完善报账流程、限定权限、规范财务管理工作。专项立项和预算资金申请、分配、使用，一律由局党组集体研究决定。对资金拨付、使用、验收实施全程监督，做到专款专用。</w:t>
      </w:r>
    </w:p>
    <w:p>
      <w:pPr>
        <w:ind w:firstLine="360" w:firstLineChars="150"/>
        <w:rPr>
          <w:rFonts w:ascii="Times New Roman" w:hAnsi="Times New Roman" w:eastAsia="仿宋" w:cs="Times New Roman"/>
          <w:sz w:val="32"/>
          <w:szCs w:val="32"/>
        </w:rPr>
      </w:pPr>
      <w:r>
        <w:rPr>
          <w:rFonts w:hint="eastAsia" w:ascii="仿宋" w:hAnsi="仿宋" w:eastAsia="仿宋"/>
          <w:sz w:val="24"/>
          <w:szCs w:val="24"/>
        </w:rPr>
        <w:t>（二）项目实施情况。一是加强组织领导，专项资金预算下达后，主要领导和分管领导高度重视，立即召开会议进行布置安排，制定工作计划，明确时限要求，落实责任分工，确保专项工作顺利进行；二是加强预算信息公开，南县住房和城乡建设局统一在政府网站公示了预决算信息，做到了公开透明，无暗箱操作，无监管盲区；三加强项目管理，在项目实施中，严格依照招投标法，公开招投标，与中标方签订合同，明确双方权利义务；四是合理安排财政资金，增强行政成本意识，细化经费预算编制，严格控制专项支出，确保支出与预算有机衔接，提高预算执行力。五是积极落实反馈问题整改。</w:t>
      </w:r>
    </w:p>
    <w:p>
      <w:pPr>
        <w:ind w:firstLine="480"/>
        <w:rPr>
          <w:rFonts w:ascii="仿宋" w:hAnsi="仿宋" w:eastAsia="仿宋"/>
          <w:b/>
          <w:sz w:val="32"/>
          <w:szCs w:val="32"/>
        </w:rPr>
      </w:pPr>
      <w:r>
        <w:rPr>
          <w:rFonts w:hint="eastAsia" w:ascii="仿宋" w:hAnsi="仿宋" w:eastAsia="仿宋"/>
          <w:b/>
          <w:sz w:val="32"/>
          <w:szCs w:val="32"/>
        </w:rPr>
        <w:t>四、绩效评价工作情况</w:t>
      </w:r>
    </w:p>
    <w:p>
      <w:pPr>
        <w:ind w:firstLine="480"/>
        <w:rPr>
          <w:rFonts w:ascii="仿宋" w:hAnsi="仿宋" w:eastAsia="仿宋" w:cs="仿宋"/>
          <w:sz w:val="24"/>
          <w:szCs w:val="24"/>
        </w:rPr>
      </w:pPr>
      <w:r>
        <w:rPr>
          <w:rFonts w:hint="eastAsia" w:ascii="仿宋" w:hAnsi="仿宋" w:eastAsia="仿宋" w:cs="仿宋"/>
          <w:sz w:val="24"/>
          <w:szCs w:val="24"/>
        </w:rPr>
        <w:t>（一）绩效评价目的</w:t>
      </w:r>
    </w:p>
    <w:p>
      <w:pPr>
        <w:pStyle w:val="13"/>
        <w:wordWrap w:val="0"/>
        <w:spacing w:before="0" w:beforeAutospacing="0" w:after="0" w:afterAutospacing="0" w:line="560" w:lineRule="atLeast"/>
        <w:ind w:firstLine="560"/>
        <w:rPr>
          <w:rFonts w:ascii="仿宋" w:hAnsi="仿宋" w:eastAsia="仿宋" w:cs="仿宋"/>
          <w:color w:val="auto"/>
          <w:kern w:val="2"/>
          <w:sz w:val="24"/>
          <w:szCs w:val="24"/>
        </w:rPr>
      </w:pPr>
      <w:r>
        <w:rPr>
          <w:rFonts w:hint="eastAsia" w:ascii="仿宋" w:hAnsi="仿宋" w:eastAsia="仿宋" w:cs="仿宋"/>
          <w:color w:val="auto"/>
          <w:kern w:val="2"/>
          <w:sz w:val="24"/>
          <w:szCs w:val="24"/>
        </w:rPr>
        <w:t>通过绩效评价全面分析该项目资金使用、管理和项目实施情况，进一步规范南县住房和城乡建设局2020年度“污水处理工程管理专项资金”的使用和管理，强化财政资金支出绩效理念，切实提高财政资金使用效益。</w:t>
      </w:r>
    </w:p>
    <w:p>
      <w:pPr>
        <w:ind w:firstLine="480"/>
        <w:rPr>
          <w:rFonts w:ascii="仿宋" w:hAnsi="仿宋" w:eastAsia="仿宋"/>
          <w:sz w:val="24"/>
          <w:szCs w:val="24"/>
        </w:rPr>
      </w:pPr>
      <w:r>
        <w:rPr>
          <w:rFonts w:hint="eastAsia" w:ascii="仿宋" w:hAnsi="仿宋" w:eastAsia="仿宋"/>
          <w:sz w:val="24"/>
          <w:szCs w:val="24"/>
        </w:rPr>
        <w:t>（二）绩效评价工作过程。</w:t>
      </w:r>
    </w:p>
    <w:p>
      <w:pPr>
        <w:ind w:firstLine="480"/>
        <w:rPr>
          <w:rFonts w:ascii="仿宋" w:hAnsi="仿宋" w:eastAsia="仿宋"/>
          <w:sz w:val="24"/>
          <w:szCs w:val="24"/>
        </w:rPr>
      </w:pPr>
      <w:r>
        <w:rPr>
          <w:rFonts w:hint="eastAsia" w:ascii="仿宋" w:hAnsi="仿宋" w:eastAsia="仿宋"/>
          <w:sz w:val="24"/>
          <w:szCs w:val="24"/>
        </w:rPr>
        <w:t>根据南县财政局《关于对2020年度专项资金开展重点绩效评价工作的通知》(南财绩函[2021]10号)文件要求，我所按下列步骤开展了绩效评价工作：</w:t>
      </w:r>
    </w:p>
    <w:p>
      <w:pPr>
        <w:ind w:firstLine="480"/>
        <w:rPr>
          <w:rFonts w:ascii="仿宋" w:hAnsi="仿宋" w:eastAsia="仿宋"/>
          <w:sz w:val="24"/>
          <w:szCs w:val="24"/>
        </w:rPr>
      </w:pPr>
      <w:r>
        <w:rPr>
          <w:rFonts w:hint="eastAsia" w:ascii="仿宋" w:hAnsi="仿宋" w:eastAsia="仿宋"/>
          <w:sz w:val="24"/>
          <w:szCs w:val="24"/>
        </w:rPr>
        <w:t>1.前期准备。我所抽调专人成立了绩效评价工作组，明确了工作职责，制定了现场评价方案，设计了相关表格，联系了相关部门和单位，确定了实施时间。</w:t>
      </w:r>
    </w:p>
    <w:p>
      <w:pPr>
        <w:ind w:left="210" w:leftChars="100" w:firstLine="360" w:firstLineChars="150"/>
        <w:rPr>
          <w:rFonts w:ascii="仿宋" w:hAnsi="仿宋" w:eastAsia="仿宋"/>
          <w:sz w:val="24"/>
          <w:szCs w:val="24"/>
        </w:rPr>
      </w:pPr>
      <w:r>
        <w:rPr>
          <w:rFonts w:hint="eastAsia" w:ascii="仿宋" w:hAnsi="仿宋" w:eastAsia="仿宋"/>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pPr>
        <w:pStyle w:val="9"/>
        <w:ind w:firstLine="482" w:firstLineChars="150"/>
        <w:rPr>
          <w:rFonts w:ascii="仿宋" w:hAnsi="仿宋" w:eastAsia="仿宋"/>
          <w:b/>
          <w:sz w:val="32"/>
          <w:szCs w:val="32"/>
        </w:rPr>
      </w:pPr>
      <w:r>
        <w:rPr>
          <w:rFonts w:hint="eastAsia" w:ascii="仿宋" w:hAnsi="仿宋" w:eastAsia="仿宋"/>
          <w:b/>
          <w:sz w:val="32"/>
          <w:szCs w:val="32"/>
        </w:rPr>
        <w:t>五、绩效评价结果和绩效分析</w:t>
      </w:r>
    </w:p>
    <w:p>
      <w:pPr>
        <w:pStyle w:val="9"/>
        <w:ind w:firstLine="480" w:firstLineChars="200"/>
        <w:rPr>
          <w:rFonts w:ascii="仿宋" w:hAnsi="仿宋" w:eastAsia="仿宋"/>
          <w:sz w:val="24"/>
          <w:szCs w:val="24"/>
        </w:rPr>
      </w:pPr>
      <w:r>
        <w:rPr>
          <w:rFonts w:hint="eastAsia" w:ascii="仿宋" w:hAnsi="仿宋" w:eastAsia="仿宋"/>
          <w:sz w:val="24"/>
          <w:szCs w:val="24"/>
        </w:rPr>
        <w:t>根据该项目资金绩效评价指标体系和绩效检查情况，该项目整体绩效分值100分，实得76分，被评为“合格”等级(详见：南县住房和城乡建设局2020年“重点流域环境整治专项资金”绩效评价指标评分表)。主要绩效表现在以下几个方面：</w:t>
      </w:r>
    </w:p>
    <w:p>
      <w:pPr>
        <w:pStyle w:val="9"/>
        <w:numPr>
          <w:ilvl w:val="0"/>
          <w:numId w:val="1"/>
        </w:numPr>
        <w:ind w:firstLine="480" w:firstLineChars="200"/>
        <w:rPr>
          <w:rFonts w:ascii="仿宋" w:hAnsi="仿宋" w:eastAsia="仿宋"/>
          <w:sz w:val="24"/>
          <w:szCs w:val="24"/>
        </w:rPr>
      </w:pPr>
      <w:r>
        <w:rPr>
          <w:rFonts w:hint="eastAsia" w:ascii="仿宋" w:hAnsi="仿宋" w:eastAsia="仿宋"/>
          <w:sz w:val="24"/>
          <w:szCs w:val="24"/>
        </w:rPr>
        <w:t>项目经济性分析：</w:t>
      </w:r>
    </w:p>
    <w:p>
      <w:pPr>
        <w:spacing w:line="520" w:lineRule="exact"/>
        <w:ind w:firstLine="720" w:firstLineChars="300"/>
        <w:rPr>
          <w:rFonts w:ascii="仿宋" w:hAnsi="仿宋" w:eastAsia="仿宋"/>
          <w:sz w:val="24"/>
        </w:rPr>
      </w:pPr>
      <w:r>
        <w:rPr>
          <w:rFonts w:hint="eastAsia" w:ascii="仿宋" w:hAnsi="仿宋" w:eastAsia="仿宋"/>
          <w:sz w:val="24"/>
        </w:rPr>
        <w:t>1. 南县住房和城乡建设局2020年重点流域环境整治专项项目严格按照省级财政下达的中央预算安排项目资金，控制项目的预算成本，确保项目资金的使用效益。中央预算资金4700万元，实际使用资金4345.37万元，结余资金354.63万元，资金使用率92.45%。</w:t>
      </w:r>
    </w:p>
    <w:p>
      <w:pPr>
        <w:spacing w:line="520" w:lineRule="exact"/>
        <w:ind w:firstLine="720" w:firstLineChars="300"/>
        <w:rPr>
          <w:rFonts w:ascii="仿宋" w:hAnsi="仿宋" w:eastAsia="仿宋"/>
          <w:sz w:val="24"/>
        </w:rPr>
      </w:pPr>
      <w:r>
        <w:rPr>
          <w:rFonts w:hint="eastAsia" w:ascii="仿宋" w:hAnsi="仿宋" w:eastAsia="仿宋"/>
          <w:sz w:val="24"/>
        </w:rPr>
        <w:t>2. 全县水质提标的完成，美化了环境，保障了项目单位全年经济指标的顺利完成。全年完成了立项争资1.6亿元，同比增长4.15%；招商引资0.3亿元；核定建安造价27亿元，建筑业总产值51.87亿元，同比增长27%；新报建人防工程项目4个新增人防工程建筑面积10299.20平方米，征收异地建设费202万元；商品房销售额29.8亿元，销售面积约68万平方米，同比均增长10%；自来水公司完成售水量890万吨，销售收入2500万元，同比分别增长11.25%、4.16%。</w:t>
      </w:r>
    </w:p>
    <w:p>
      <w:pPr>
        <w:spacing w:line="520" w:lineRule="exact"/>
        <w:ind w:firstLine="360" w:firstLineChars="150"/>
        <w:rPr>
          <w:rFonts w:ascii="仿宋" w:hAnsi="仿宋" w:eastAsia="仿宋"/>
          <w:sz w:val="24"/>
        </w:rPr>
      </w:pPr>
      <w:r>
        <w:rPr>
          <w:rFonts w:hint="eastAsia" w:ascii="仿宋" w:hAnsi="仿宋" w:eastAsia="仿宋"/>
          <w:sz w:val="24"/>
        </w:rPr>
        <w:t>（二）项目的有效性分析</w:t>
      </w:r>
    </w:p>
    <w:p>
      <w:pPr>
        <w:spacing w:line="520" w:lineRule="exact"/>
        <w:ind w:firstLine="600" w:firstLineChars="250"/>
        <w:rPr>
          <w:rFonts w:ascii="仿宋" w:hAnsi="仿宋" w:eastAsia="仿宋"/>
          <w:sz w:val="24"/>
        </w:rPr>
      </w:pPr>
      <w:r>
        <w:rPr>
          <w:rFonts w:hint="eastAsia" w:ascii="仿宋" w:hAnsi="仿宋" w:eastAsia="仿宋"/>
          <w:sz w:val="24"/>
        </w:rPr>
        <w:t>本项目的有效性体现在以下几个方面：</w:t>
      </w:r>
    </w:p>
    <w:p>
      <w:pPr>
        <w:pStyle w:val="5"/>
        <w:shd w:val="clear" w:color="auto" w:fill="FFFFFF"/>
        <w:spacing w:before="0" w:beforeAutospacing="0" w:after="0" w:afterAutospacing="0" w:line="520" w:lineRule="exact"/>
        <w:ind w:firstLine="560"/>
        <w:rPr>
          <w:rFonts w:ascii="仿宋" w:hAnsi="仿宋" w:eastAsia="仿宋" w:cs="Times New Roman"/>
          <w:kern w:val="2"/>
        </w:rPr>
      </w:pPr>
      <w:r>
        <w:rPr>
          <w:rFonts w:hint="eastAsia" w:ascii="仿宋" w:hAnsi="仿宋" w:eastAsia="仿宋" w:cs="Times New Roman"/>
          <w:kern w:val="2"/>
        </w:rPr>
        <w:t>1.通过该项目的实施，完善了全县污水处理基础设施，提升了全县水质，保证了居民用水的安全性，改善了居民生活环境。</w:t>
      </w:r>
    </w:p>
    <w:p>
      <w:pPr>
        <w:pStyle w:val="5"/>
        <w:shd w:val="clear" w:color="auto" w:fill="FFFFFF"/>
        <w:spacing w:before="0" w:beforeAutospacing="0" w:after="0" w:afterAutospacing="0" w:line="520" w:lineRule="exact"/>
        <w:ind w:firstLine="560"/>
        <w:rPr>
          <w:rFonts w:ascii="仿宋" w:hAnsi="仿宋" w:eastAsia="仿宋" w:cs="Times New Roman"/>
          <w:kern w:val="2"/>
        </w:rPr>
      </w:pPr>
      <w:r>
        <w:rPr>
          <w:rFonts w:hint="eastAsia" w:ascii="仿宋" w:hAnsi="仿宋" w:eastAsia="仿宋" w:cs="Times New Roman"/>
          <w:kern w:val="2"/>
        </w:rPr>
        <w:t>水环境整治投入4000万对南县县城第一污水处理厂的提标改造后，污水处理能力达到2万吨/天，将改良型氧化沟工艺改造为AAO+MBBR工艺后，排放标准由一级B提升到一级A。改善了鱼尾洲电排渠水质，同时减少了对藕池河东支流域污染物的排放，对藕池河东支下游地区水源地的保护和水体保护起到了重要作用。投入700万元完成华阁镇河口集镇污水处理站建设，处理规模200吨/天，；投入2700万元完成了乡镇污水管网补短板工程，新建管网23公里；投入60万元对城南双洋渠、渔尾渠黑臭水体进行治理，实施了截污。</w:t>
      </w:r>
    </w:p>
    <w:p>
      <w:pPr>
        <w:spacing w:line="520" w:lineRule="exact"/>
        <w:ind w:firstLine="360" w:firstLineChars="150"/>
        <w:rPr>
          <w:rFonts w:ascii="仿宋" w:hAnsi="仿宋" w:eastAsia="仿宋"/>
          <w:sz w:val="24"/>
        </w:rPr>
      </w:pPr>
      <w:r>
        <w:rPr>
          <w:rFonts w:hint="eastAsia" w:ascii="仿宋" w:hAnsi="仿宋" w:eastAsia="仿宋"/>
          <w:sz w:val="24"/>
        </w:rPr>
        <w:t>2.通过实施该项目，从源头上修复水环境污染，不仅提升了南县的水质，而且改善了洞庭湖流域生态环境，进而修复了长江经济带的生态系统。</w:t>
      </w:r>
    </w:p>
    <w:p>
      <w:pPr>
        <w:spacing w:line="520" w:lineRule="exact"/>
        <w:ind w:firstLine="360" w:firstLineChars="150"/>
        <w:rPr>
          <w:rFonts w:ascii="仿宋" w:hAnsi="仿宋" w:eastAsia="仿宋"/>
          <w:sz w:val="24"/>
        </w:rPr>
      </w:pPr>
      <w:r>
        <w:rPr>
          <w:rFonts w:hint="eastAsia" w:ascii="仿宋" w:hAnsi="仿宋" w:eastAsia="仿宋"/>
          <w:sz w:val="24"/>
        </w:rPr>
        <w:t>3.实施该项目是全面贯彻党的十八大以来，习近平新时代中国特色社会主义思想全面推进生态文明建设精神。牢固树立人与自然和谐相处、绿水青山就是金山银山的理念，遵循经济社会生态系统的完整性及其内在规律，推进流域经济社会与水环境相协调，探索绿色发展模式。</w:t>
      </w:r>
    </w:p>
    <w:p>
      <w:pPr>
        <w:spacing w:line="520" w:lineRule="exact"/>
        <w:ind w:firstLine="240" w:firstLineChars="100"/>
        <w:rPr>
          <w:rFonts w:ascii="仿宋" w:hAnsi="仿宋" w:eastAsia="仿宋"/>
          <w:sz w:val="24"/>
        </w:rPr>
      </w:pPr>
      <w:r>
        <w:rPr>
          <w:rFonts w:hint="eastAsia" w:ascii="仿宋" w:hAnsi="仿宋" w:eastAsia="仿宋"/>
          <w:sz w:val="24"/>
        </w:rPr>
        <w:t>（三）项目的可持续性分析</w:t>
      </w:r>
    </w:p>
    <w:p>
      <w:pPr>
        <w:spacing w:line="520" w:lineRule="exact"/>
        <w:ind w:firstLine="360" w:firstLineChars="150"/>
        <w:jc w:val="both"/>
        <w:rPr>
          <w:rFonts w:ascii="仿宋" w:hAnsi="仿宋" w:eastAsia="仿宋"/>
          <w:sz w:val="24"/>
        </w:rPr>
      </w:pPr>
      <w:r>
        <w:rPr>
          <w:rFonts w:hint="eastAsia" w:ascii="仿宋" w:hAnsi="仿宋" w:eastAsia="仿宋"/>
          <w:color w:val="333333"/>
          <w:sz w:val="24"/>
          <w:szCs w:val="24"/>
          <w:shd w:val="clear" w:color="auto" w:fill="FFFFFF"/>
        </w:rPr>
        <w:t>生态文明建设和社会经济建设是相辅相成、不可分割的有机整体，重点流域环境整治促进了社会经济的可持续发展。长江经济带和黄河流域均横跨我国东中西三大板块，对中西部地区协调发展起到了拉动支撑作用，同时该项目得到中央财政资金的支持，项目持续可行。</w:t>
      </w:r>
    </w:p>
    <w:p>
      <w:pPr>
        <w:pStyle w:val="9"/>
        <w:ind w:firstLine="482" w:firstLineChars="150"/>
        <w:rPr>
          <w:rFonts w:ascii="仿宋" w:hAnsi="仿宋" w:eastAsia="仿宋"/>
          <w:b/>
          <w:sz w:val="32"/>
          <w:szCs w:val="32"/>
        </w:rPr>
      </w:pPr>
      <w:r>
        <w:rPr>
          <w:rFonts w:hint="eastAsia" w:ascii="仿宋" w:hAnsi="仿宋" w:eastAsia="仿宋"/>
          <w:b/>
          <w:sz w:val="32"/>
          <w:szCs w:val="32"/>
        </w:rPr>
        <w:t>六、存在的主要问题</w:t>
      </w:r>
    </w:p>
    <w:p>
      <w:pPr>
        <w:pStyle w:val="9"/>
        <w:ind w:firstLine="480" w:firstLineChars="200"/>
        <w:rPr>
          <w:rFonts w:ascii="仿宋" w:hAnsi="仿宋" w:eastAsia="仿宋"/>
          <w:sz w:val="24"/>
          <w:szCs w:val="24"/>
        </w:rPr>
      </w:pPr>
      <w:r>
        <w:rPr>
          <w:rFonts w:hint="eastAsia" w:ascii="仿宋" w:hAnsi="仿宋" w:eastAsia="仿宋"/>
          <w:sz w:val="24"/>
          <w:szCs w:val="24"/>
        </w:rPr>
        <w:t>南县住房和城乡建设局2020年度“污水处理工程管理专项资金”在项目决策上合理，实施过程中领导重视，管理较规范，较好的达到了预期的绩效目标，但有些方面仍有不足，主要有：</w:t>
      </w:r>
    </w:p>
    <w:p>
      <w:pPr>
        <w:pStyle w:val="9"/>
        <w:ind w:firstLine="482" w:firstLineChars="200"/>
        <w:rPr>
          <w:rFonts w:ascii="仿宋" w:hAnsi="仿宋" w:eastAsia="仿宋"/>
          <w:b/>
          <w:sz w:val="24"/>
          <w:szCs w:val="24"/>
        </w:rPr>
      </w:pPr>
      <w:r>
        <w:rPr>
          <w:rFonts w:hint="eastAsia" w:ascii="仿宋" w:hAnsi="仿宋" w:eastAsia="仿宋"/>
          <w:b/>
          <w:sz w:val="24"/>
          <w:szCs w:val="24"/>
        </w:rPr>
        <w:t>(一)项目基础管理工作有待完善。</w:t>
      </w:r>
    </w:p>
    <w:p>
      <w:pPr>
        <w:pStyle w:val="9"/>
        <w:ind w:firstLine="482" w:firstLineChars="200"/>
        <w:rPr>
          <w:rFonts w:ascii="仿宋" w:hAnsi="仿宋" w:eastAsia="仿宋"/>
          <w:sz w:val="24"/>
          <w:szCs w:val="24"/>
        </w:rPr>
      </w:pPr>
      <w:r>
        <w:rPr>
          <w:rFonts w:hint="eastAsia" w:ascii="仿宋" w:hAnsi="仿宋" w:eastAsia="仿宋"/>
          <w:b/>
          <w:sz w:val="24"/>
          <w:szCs w:val="24"/>
        </w:rPr>
        <w:t>1.项目施工资料提供不全。</w:t>
      </w:r>
      <w:r>
        <w:rPr>
          <w:rFonts w:hint="eastAsia" w:ascii="仿宋" w:hAnsi="仿宋" w:eastAsia="仿宋"/>
          <w:sz w:val="24"/>
          <w:szCs w:val="24"/>
        </w:rPr>
        <w:t>南县住房和城乡建设局关于该重点流域环境整治专项项目，未提供该项目的具体实施方案及项目管理制度；未提供部分项目的合同、预决算及竣工验收资料；未提供一污提标改造增加的补充协议经过发改委备案登记及财评的资料。</w:t>
      </w:r>
    </w:p>
    <w:p>
      <w:pPr>
        <w:pStyle w:val="9"/>
        <w:ind w:firstLine="482" w:firstLineChars="200"/>
        <w:rPr>
          <w:rFonts w:ascii="仿宋" w:hAnsi="仿宋" w:eastAsia="仿宋"/>
          <w:sz w:val="24"/>
          <w:szCs w:val="24"/>
        </w:rPr>
      </w:pPr>
      <w:r>
        <w:rPr>
          <w:rFonts w:hint="eastAsia" w:ascii="仿宋" w:hAnsi="仿宋" w:eastAsia="仿宋"/>
          <w:b/>
          <w:sz w:val="24"/>
          <w:szCs w:val="24"/>
        </w:rPr>
        <w:t>2.项目财务资料提供不全。</w:t>
      </w:r>
      <w:r>
        <w:rPr>
          <w:rFonts w:hint="eastAsia" w:ascii="仿宋" w:hAnsi="仿宋" w:eastAsia="仿宋"/>
          <w:sz w:val="24"/>
          <w:szCs w:val="24"/>
        </w:rPr>
        <w:t>项目单位未提供拨付二级机构157.33万元的具体使用情况；未提供拨付乡镇水环境治理经费128万元的具体使用情况。</w:t>
      </w:r>
    </w:p>
    <w:p>
      <w:pPr>
        <w:pStyle w:val="9"/>
        <w:ind w:firstLine="361" w:firstLineChars="150"/>
        <w:rPr>
          <w:rFonts w:ascii="仿宋" w:hAnsi="仿宋" w:eastAsia="仿宋"/>
          <w:b/>
          <w:sz w:val="24"/>
          <w:szCs w:val="24"/>
        </w:rPr>
      </w:pPr>
      <w:r>
        <w:rPr>
          <w:rFonts w:hint="eastAsia" w:ascii="仿宋" w:hAnsi="仿宋" w:eastAsia="仿宋"/>
          <w:b/>
          <w:sz w:val="24"/>
          <w:szCs w:val="24"/>
        </w:rPr>
        <w:t>(二)资金使用不合规。</w:t>
      </w:r>
    </w:p>
    <w:p>
      <w:pPr>
        <w:pStyle w:val="9"/>
        <w:ind w:firstLine="482" w:firstLineChars="200"/>
        <w:rPr>
          <w:rFonts w:ascii="仿宋" w:hAnsi="仿宋" w:eastAsia="仿宋"/>
          <w:sz w:val="24"/>
          <w:szCs w:val="24"/>
        </w:rPr>
      </w:pPr>
      <w:r>
        <w:rPr>
          <w:rFonts w:hint="eastAsia" w:ascii="仿宋" w:hAnsi="仿宋" w:eastAsia="仿宋"/>
          <w:b/>
          <w:sz w:val="24"/>
          <w:szCs w:val="24"/>
        </w:rPr>
        <w:t>1.存在挤占项目资金。</w:t>
      </w:r>
      <w:r>
        <w:rPr>
          <w:rFonts w:hint="eastAsia" w:ascii="仿宋" w:hAnsi="仿宋" w:eastAsia="仿宋"/>
          <w:sz w:val="24"/>
          <w:szCs w:val="24"/>
        </w:rPr>
        <w:t>根据相关规定中央预算专项资金只能用于项目的主体建设，不能用于弥补工作经费、超项目范围及项目辅助费用。工作经费、超范围项目及项目辅助费用由地方配套资金或项目单位自筹负担。其具体挤占明细如下：</w:t>
      </w:r>
    </w:p>
    <w:p>
      <w:pPr>
        <w:pStyle w:val="9"/>
        <w:ind w:firstLine="482" w:firstLineChars="200"/>
        <w:rPr>
          <w:rFonts w:ascii="仿宋" w:hAnsi="仿宋" w:eastAsia="仿宋"/>
          <w:sz w:val="24"/>
          <w:szCs w:val="24"/>
        </w:rPr>
      </w:pPr>
      <w:r>
        <w:rPr>
          <w:rFonts w:hint="eastAsia" w:ascii="仿宋" w:hAnsi="仿宋" w:eastAsia="仿宋"/>
          <w:b/>
          <w:sz w:val="24"/>
          <w:szCs w:val="24"/>
        </w:rPr>
        <w:t>①弥补工作经费。</w:t>
      </w:r>
      <w:r>
        <w:rPr>
          <w:rFonts w:hint="eastAsia" w:ascii="仿宋" w:hAnsi="仿宋" w:eastAsia="仿宋"/>
          <w:sz w:val="24"/>
          <w:szCs w:val="24"/>
        </w:rPr>
        <w:t>拨付二级机构157.33万元，根据二级机构申请该款项的报告所述，申请事由均是由于二级机构经费紧张，弥补经费不足；拨付乡镇工作经费128万元，均是弥补乡镇工作经费，该专项资金合计用于工作经费方面285.33万元。</w:t>
      </w:r>
    </w:p>
    <w:p>
      <w:pPr>
        <w:pStyle w:val="9"/>
        <w:ind w:firstLine="361" w:firstLineChars="150"/>
        <w:rPr>
          <w:rFonts w:ascii="仿宋" w:hAnsi="仿宋" w:eastAsia="仿宋"/>
          <w:sz w:val="24"/>
          <w:szCs w:val="24"/>
        </w:rPr>
      </w:pPr>
      <w:r>
        <w:rPr>
          <w:rFonts w:hint="eastAsia" w:ascii="仿宋" w:hAnsi="仿宋" w:eastAsia="仿宋"/>
          <w:b/>
          <w:sz w:val="24"/>
          <w:szCs w:val="24"/>
        </w:rPr>
        <w:t>②超项目范围使用资金。</w:t>
      </w:r>
      <w:r>
        <w:rPr>
          <w:rFonts w:hint="eastAsia" w:ascii="仿宋" w:hAnsi="仿宋" w:eastAsia="仿宋"/>
          <w:sz w:val="24"/>
          <w:szCs w:val="24"/>
        </w:rPr>
        <w:t>根据项目单位申请该专项资金的使用范围是10个乡镇的配套管网工程及新建乡镇污水处理厂10个（详见前述项目申报建设内容）。项目单位超范围使用资金用于南县县城一污提标改质2479.40万元（根据合同内容并不涉及乡镇管网建设及乡镇污水处理站建设）、县城三污四污处理厂267.47万元、黑臭水治理105.34万元、茅草街船闸下水道改造80万元、县城重点地段绿化景观修建规划编制费29万元、其他费用6.32万元（茅草街总体规划5万，专家评审费0.9万元，专家评审招待费及差旅费0.42万元），合计超范围使用资金2967.53万元。</w:t>
      </w:r>
    </w:p>
    <w:p>
      <w:pPr>
        <w:pStyle w:val="9"/>
        <w:ind w:firstLine="482" w:firstLineChars="200"/>
        <w:rPr>
          <w:rFonts w:ascii="仿宋" w:hAnsi="仿宋" w:eastAsia="仿宋"/>
          <w:sz w:val="24"/>
          <w:szCs w:val="24"/>
        </w:rPr>
      </w:pPr>
      <w:r>
        <w:rPr>
          <w:rFonts w:hint="eastAsia" w:ascii="仿宋" w:hAnsi="仿宋" w:eastAsia="仿宋"/>
          <w:b/>
          <w:sz w:val="24"/>
          <w:szCs w:val="24"/>
        </w:rPr>
        <w:t>③支付项目辅助费用。</w:t>
      </w:r>
      <w:r>
        <w:rPr>
          <w:rFonts w:hint="eastAsia" w:ascii="仿宋" w:hAnsi="仿宋" w:eastAsia="仿宋"/>
          <w:sz w:val="24"/>
          <w:szCs w:val="24"/>
        </w:rPr>
        <w:t>项目单位实际支出辅助费用合计130.16万元（不含一污三污四污的辅助费用177.54万元）。其中，茅草街八百弓污水处理站工程设计费18万、用地补偿13.688万元、勘察费1.2万元；华阁河口东岸西岸污水处理站预算编制费4.472万元、监理费15万元；集镇及农村污水处理站PPP项目可行性研究报告28万、环评费20万、咨询费5万元；乡镇污水管网设计咨询费24.8万元。</w:t>
      </w:r>
    </w:p>
    <w:p>
      <w:pPr>
        <w:pStyle w:val="9"/>
        <w:ind w:firstLine="482" w:firstLineChars="200"/>
        <w:rPr>
          <w:rFonts w:ascii="仿宋" w:hAnsi="仿宋" w:eastAsia="仿宋"/>
          <w:sz w:val="24"/>
          <w:szCs w:val="24"/>
        </w:rPr>
      </w:pPr>
      <w:r>
        <w:rPr>
          <w:rFonts w:hint="eastAsia" w:ascii="仿宋" w:hAnsi="仿宋" w:eastAsia="仿宋"/>
          <w:b/>
          <w:sz w:val="24"/>
          <w:szCs w:val="24"/>
        </w:rPr>
        <w:t>2.存在跨期支付。</w:t>
      </w:r>
      <w:r>
        <w:rPr>
          <w:rFonts w:hint="eastAsia" w:ascii="仿宋" w:hAnsi="仿宋" w:eastAsia="仿宋"/>
          <w:sz w:val="24"/>
          <w:szCs w:val="24"/>
        </w:rPr>
        <w:t>该专项资金有89.42万元是在2021年使用的。</w:t>
      </w:r>
    </w:p>
    <w:p>
      <w:pPr>
        <w:pStyle w:val="9"/>
        <w:ind w:firstLine="361" w:firstLineChars="150"/>
        <w:rPr>
          <w:rFonts w:ascii="仿宋" w:hAnsi="仿宋" w:eastAsia="仿宋"/>
          <w:sz w:val="24"/>
          <w:szCs w:val="24"/>
        </w:rPr>
      </w:pPr>
      <w:r>
        <w:rPr>
          <w:rFonts w:hint="eastAsia" w:ascii="仿宋" w:hAnsi="仿宋" w:eastAsia="仿宋"/>
          <w:b/>
          <w:sz w:val="24"/>
          <w:szCs w:val="24"/>
        </w:rPr>
        <w:t>（三）部分财务审批手续不规范</w:t>
      </w:r>
      <w:r>
        <w:rPr>
          <w:rFonts w:hint="eastAsia" w:ascii="仿宋" w:hAnsi="仿宋" w:eastAsia="仿宋"/>
          <w:sz w:val="24"/>
          <w:szCs w:val="24"/>
        </w:rPr>
        <w:t>。如规划评审费及用餐费报销审核单未有审核人及批示意见。</w:t>
      </w:r>
    </w:p>
    <w:p>
      <w:pPr>
        <w:pStyle w:val="9"/>
        <w:ind w:firstLine="361" w:firstLineChars="150"/>
        <w:rPr>
          <w:rFonts w:ascii="仿宋" w:hAnsi="仿宋" w:eastAsia="仿宋"/>
          <w:sz w:val="24"/>
          <w:szCs w:val="24"/>
        </w:rPr>
      </w:pPr>
      <w:r>
        <w:rPr>
          <w:rFonts w:hint="eastAsia" w:ascii="仿宋" w:hAnsi="仿宋" w:eastAsia="仿宋"/>
          <w:b/>
          <w:sz w:val="24"/>
          <w:szCs w:val="24"/>
        </w:rPr>
        <w:t>(四)监督检查工作未到位，有待加强。</w:t>
      </w:r>
      <w:r>
        <w:rPr>
          <w:rFonts w:hint="eastAsia" w:ascii="仿宋" w:hAnsi="仿宋" w:eastAsia="仿宋"/>
          <w:sz w:val="24"/>
          <w:szCs w:val="24"/>
        </w:rPr>
        <w:t>监督检查是保证预算执行的重要手段，通过实施内部监督检查，可以及时查找并督促整改专项管理中存在的问题，发挥监督预算、纠偏、评价及监管职能 ，推动财政管理更加规范、科学、合理、高效。本工作专项项目资金拨付到二级机构157.33万元及下面乡镇水环境治理工作经费128万，合计资金285.33万元，未有相关监督检查。</w:t>
      </w:r>
    </w:p>
    <w:p>
      <w:pPr>
        <w:pStyle w:val="9"/>
        <w:ind w:firstLine="120" w:firstLineChars="50"/>
        <w:rPr>
          <w:rFonts w:ascii="仿宋" w:hAnsi="仿宋" w:eastAsia="仿宋"/>
          <w:sz w:val="24"/>
          <w:szCs w:val="24"/>
        </w:rPr>
      </w:pPr>
      <w:r>
        <w:rPr>
          <w:rFonts w:hint="eastAsia" w:ascii="仿宋" w:hAnsi="仿宋" w:eastAsia="仿宋"/>
          <w:b/>
          <w:sz w:val="24"/>
          <w:szCs w:val="24"/>
        </w:rPr>
        <w:t>（五）部分项目建设滞后。</w:t>
      </w:r>
      <w:r>
        <w:rPr>
          <w:rFonts w:hint="eastAsia" w:ascii="仿宋" w:hAnsi="仿宋" w:eastAsia="仿宋"/>
          <w:sz w:val="24"/>
          <w:szCs w:val="24"/>
        </w:rPr>
        <w:t>根据项目单位提供的部分财务记账凭证，截止到项目绩效评审日，三污四污的建设完成主体的80%和40%。未达到绩效目标申报表的完工进度。</w:t>
      </w:r>
    </w:p>
    <w:p>
      <w:pPr>
        <w:pStyle w:val="9"/>
        <w:ind w:firstLine="640"/>
        <w:rPr>
          <w:rFonts w:ascii="仿宋" w:hAnsi="仿宋" w:eastAsia="仿宋"/>
          <w:b/>
          <w:bCs/>
          <w:sz w:val="32"/>
          <w:szCs w:val="32"/>
        </w:rPr>
      </w:pPr>
      <w:r>
        <w:rPr>
          <w:rFonts w:hint="eastAsia" w:ascii="仿宋" w:hAnsi="仿宋" w:eastAsia="仿宋"/>
          <w:b/>
          <w:bCs/>
          <w:sz w:val="32"/>
          <w:szCs w:val="32"/>
        </w:rPr>
        <w:t>七、建议</w:t>
      </w:r>
    </w:p>
    <w:p>
      <w:pPr>
        <w:pStyle w:val="9"/>
        <w:ind w:firstLine="480" w:firstLineChars="200"/>
        <w:rPr>
          <w:rFonts w:ascii="仿宋" w:hAnsi="仿宋" w:eastAsia="仿宋"/>
          <w:sz w:val="24"/>
          <w:szCs w:val="24"/>
        </w:rPr>
      </w:pPr>
      <w:r>
        <w:rPr>
          <w:rFonts w:hint="eastAsia" w:ascii="仿宋" w:hAnsi="仿宋" w:eastAsia="仿宋"/>
          <w:sz w:val="24"/>
          <w:szCs w:val="24"/>
        </w:rPr>
        <w:t>(一)加强项目管理，完善项目基础管理工作。制定项目实施方案，明确项目实施内容，确定项目开展、审批程序，收集保管相关资料，建立项目实施台账等。</w:t>
      </w:r>
    </w:p>
    <w:p>
      <w:pPr>
        <w:pStyle w:val="9"/>
        <w:ind w:firstLine="360" w:firstLineChars="150"/>
        <w:rPr>
          <w:rFonts w:ascii="仿宋" w:hAnsi="仿宋" w:eastAsia="仿宋"/>
          <w:sz w:val="24"/>
          <w:szCs w:val="24"/>
        </w:rPr>
      </w:pPr>
      <w:r>
        <w:rPr>
          <w:rFonts w:hint="eastAsia" w:ascii="仿宋" w:hAnsi="仿宋" w:eastAsia="仿宋"/>
          <w:sz w:val="24"/>
          <w:szCs w:val="24"/>
        </w:rPr>
        <w:t>(二)规范专项资金使用。对项目资金实行“专人管理、专户储存、专账核算、专项使用”的原则，准确反映项目支出情况，严禁挤占、截留、挪用项目资金。</w:t>
      </w:r>
    </w:p>
    <w:p>
      <w:pPr>
        <w:pStyle w:val="9"/>
        <w:ind w:firstLine="240" w:firstLineChars="100"/>
        <w:rPr>
          <w:rFonts w:ascii="仿宋" w:hAnsi="仿宋" w:eastAsia="仿宋"/>
          <w:sz w:val="24"/>
          <w:szCs w:val="24"/>
        </w:rPr>
      </w:pPr>
      <w:r>
        <w:rPr>
          <w:rFonts w:hint="eastAsia" w:ascii="仿宋" w:hAnsi="仿宋" w:eastAsia="仿宋"/>
          <w:sz w:val="24"/>
          <w:szCs w:val="24"/>
        </w:rPr>
        <w:t>（三）规范财务审核报账程序，报账票据要求内容完整、手续齐全、报账及时</w:t>
      </w:r>
    </w:p>
    <w:p>
      <w:pPr>
        <w:pStyle w:val="9"/>
        <w:ind w:firstLine="240" w:firstLineChars="100"/>
        <w:rPr>
          <w:rFonts w:ascii="仿宋" w:hAnsi="仿宋" w:eastAsia="仿宋"/>
          <w:sz w:val="24"/>
          <w:szCs w:val="24"/>
        </w:rPr>
      </w:pPr>
      <w:r>
        <w:rPr>
          <w:rFonts w:hint="eastAsia" w:ascii="仿宋" w:hAnsi="仿宋" w:eastAsia="仿宋"/>
          <w:sz w:val="24"/>
          <w:szCs w:val="24"/>
        </w:rPr>
        <w:t>（四）加强监督检查工作。充分认识督查工作的重要性，通过开展积极有效的督查工作，可以及时了解决策执行中的情况、经验和问题。克服形式化、简单化，解决落实根本问题，积极发挥督查作用。</w:t>
      </w:r>
    </w:p>
    <w:p>
      <w:pPr>
        <w:pStyle w:val="9"/>
        <w:ind w:firstLine="240" w:firstLineChars="100"/>
        <w:rPr>
          <w:rFonts w:ascii="仿宋" w:hAnsi="仿宋" w:eastAsia="仿宋"/>
          <w:sz w:val="24"/>
          <w:szCs w:val="24"/>
        </w:rPr>
      </w:pPr>
      <w:r>
        <w:rPr>
          <w:rFonts w:hint="eastAsia" w:ascii="仿宋" w:hAnsi="仿宋" w:eastAsia="仿宋"/>
          <w:sz w:val="24"/>
          <w:szCs w:val="24"/>
        </w:rPr>
        <w:t>（五）加快项目建设进度。针对三污四污项目，应加强项目管理，主动与相关部门沟通协调，积极推进项目建设进度。</w:t>
      </w:r>
    </w:p>
    <w:p>
      <w:pPr>
        <w:pStyle w:val="9"/>
        <w:ind w:firstLine="120" w:firstLineChars="50"/>
        <w:rPr>
          <w:rFonts w:ascii="仿宋" w:hAnsi="仿宋" w:eastAsia="仿宋"/>
          <w:sz w:val="24"/>
          <w:szCs w:val="24"/>
        </w:rPr>
      </w:pPr>
      <w:r>
        <w:rPr>
          <w:rFonts w:hint="eastAsia" w:ascii="仿宋" w:hAnsi="仿宋" w:eastAsia="仿宋"/>
          <w:sz w:val="24"/>
          <w:szCs w:val="24"/>
        </w:rPr>
        <w:t xml:space="preserve">  </w:t>
      </w: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p>
    <w:p>
      <w:pPr>
        <w:pStyle w:val="9"/>
        <w:rPr>
          <w:rFonts w:ascii="仿宋" w:hAnsi="仿宋" w:eastAsia="仿宋"/>
          <w:sz w:val="24"/>
          <w:szCs w:val="24"/>
        </w:rPr>
      </w:pPr>
      <w:r>
        <w:rPr>
          <w:rFonts w:hint="eastAsia" w:ascii="仿宋" w:hAnsi="仿宋" w:eastAsia="仿宋"/>
          <w:sz w:val="24"/>
          <w:szCs w:val="24"/>
        </w:rPr>
        <w:t>（此页无正文）</w:t>
      </w:r>
    </w:p>
    <w:p>
      <w:pPr>
        <w:pStyle w:val="9"/>
        <w:ind w:firstLine="480" w:firstLineChars="200"/>
        <w:rPr>
          <w:rFonts w:ascii="仿宋" w:hAnsi="仿宋" w:eastAsia="仿宋"/>
          <w:sz w:val="24"/>
          <w:szCs w:val="24"/>
        </w:rPr>
      </w:pPr>
    </w:p>
    <w:p>
      <w:pPr>
        <w:spacing w:line="360" w:lineRule="auto"/>
        <w:rPr>
          <w:rFonts w:ascii="仿宋" w:hAnsi="仿宋" w:eastAsia="仿宋"/>
          <w:b/>
          <w:color w:val="000000"/>
          <w:sz w:val="24"/>
          <w:szCs w:val="24"/>
        </w:rPr>
      </w:pPr>
      <w:r>
        <w:rPr>
          <w:rFonts w:hint="eastAsia" w:ascii="仿宋" w:hAnsi="仿宋" w:eastAsia="仿宋"/>
          <w:b/>
          <w:color w:val="000000"/>
          <w:sz w:val="24"/>
          <w:szCs w:val="24"/>
        </w:rPr>
        <w:t xml:space="preserve">湖南新财苑会计师事务所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中国注册会计师：</w:t>
      </w:r>
    </w:p>
    <w:p>
      <w:pPr>
        <w:spacing w:line="360" w:lineRule="auto"/>
        <w:ind w:firstLine="482" w:firstLineChars="200"/>
        <w:rPr>
          <w:rFonts w:ascii="仿宋" w:hAnsi="仿宋" w:eastAsia="仿宋"/>
          <w:b/>
          <w:color w:val="000000"/>
          <w:sz w:val="24"/>
          <w:szCs w:val="24"/>
        </w:rPr>
      </w:pPr>
      <w:r>
        <w:rPr>
          <w:rFonts w:hint="eastAsia" w:ascii="宋体" w:hAnsi="宋体" w:eastAsia="仿宋"/>
          <w:b/>
          <w:color w:val="000000"/>
          <w:sz w:val="24"/>
          <w:szCs w:val="24"/>
        </w:rPr>
        <w:t> </w:t>
      </w:r>
      <w:r>
        <w:rPr>
          <w:rFonts w:hint="eastAsia" w:ascii="仿宋" w:hAnsi="仿宋" w:eastAsia="仿宋"/>
          <w:b/>
          <w:color w:val="000000"/>
          <w:sz w:val="24"/>
          <w:szCs w:val="24"/>
        </w:rPr>
        <w:t xml:space="preserve"> 有限公司</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p>
    <w:p>
      <w:pPr>
        <w:spacing w:line="360" w:lineRule="auto"/>
        <w:ind w:firstLine="482" w:firstLineChars="200"/>
        <w:rPr>
          <w:rFonts w:ascii="仿宋" w:hAnsi="仿宋" w:eastAsia="仿宋"/>
          <w:b/>
          <w:color w:val="000000"/>
          <w:sz w:val="24"/>
          <w:szCs w:val="24"/>
        </w:rPr>
      </w:pPr>
      <w:r>
        <w:rPr>
          <w:rFonts w:hint="eastAsia" w:ascii="仿宋" w:hAnsi="仿宋" w:eastAsia="仿宋"/>
          <w:b/>
          <w:color w:val="000000"/>
          <w:sz w:val="24"/>
          <w:szCs w:val="24"/>
        </w:rPr>
        <w:t xml:space="preserve">                                  中国注册会计师： </w:t>
      </w:r>
    </w:p>
    <w:p>
      <w:pPr>
        <w:spacing w:line="360" w:lineRule="auto"/>
        <w:ind w:firstLine="482" w:firstLineChars="200"/>
        <w:rPr>
          <w:rFonts w:ascii="仿宋" w:hAnsi="仿宋" w:eastAsia="仿宋"/>
          <w:b/>
          <w:color w:val="000000"/>
          <w:sz w:val="24"/>
          <w:szCs w:val="24"/>
        </w:rPr>
      </w:pPr>
      <w:r>
        <w:rPr>
          <w:rFonts w:hint="eastAsia" w:ascii="仿宋" w:hAnsi="仿宋" w:eastAsia="仿宋"/>
          <w:b/>
          <w:color w:val="000000"/>
          <w:sz w:val="24"/>
          <w:szCs w:val="24"/>
        </w:rPr>
        <w:t xml:space="preserve">                                                </w:t>
      </w:r>
    </w:p>
    <w:p>
      <w:pPr>
        <w:spacing w:line="360" w:lineRule="auto"/>
        <w:ind w:firstLine="602" w:firstLineChars="250"/>
      </w:pPr>
      <w:r>
        <w:rPr>
          <w:rFonts w:hint="eastAsia" w:ascii="仿宋" w:hAnsi="仿宋" w:eastAsia="仿宋"/>
          <w:b/>
          <w:color w:val="000000"/>
          <w:sz w:val="24"/>
          <w:szCs w:val="24"/>
        </w:rPr>
        <w:t>湖南  长沙</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xml:space="preserve">       </w:t>
      </w:r>
      <w:r>
        <w:rPr>
          <w:rFonts w:hint="eastAsia" w:ascii="仿宋" w:hAnsi="仿宋" w:eastAsia="仿宋"/>
          <w:b/>
          <w:color w:val="000000"/>
          <w:sz w:val="24"/>
          <w:szCs w:val="24"/>
        </w:rPr>
        <w:t>2021年6月30日</w:t>
      </w:r>
    </w:p>
    <w:p>
      <w:pPr>
        <w:pStyle w:val="9"/>
        <w:ind w:firstLine="560" w:firstLineChars="200"/>
        <w:rPr>
          <w:rFonts w:ascii="仿宋" w:hAnsi="仿宋" w:eastAsia="仿宋"/>
          <w:sz w:val="28"/>
          <w:szCs w:val="28"/>
        </w:rPr>
      </w:pPr>
      <w:r>
        <w:rPr>
          <w:rFonts w:hint="eastAsia" w:ascii="仿宋" w:hAnsi="仿宋" w:eastAsia="仿宋"/>
          <w:sz w:val="28"/>
          <w:szCs w:val="28"/>
        </w:rPr>
        <w:t xml:space="preserve">          </w:t>
      </w:r>
    </w:p>
    <w:p>
      <w:pPr>
        <w:pStyle w:val="9"/>
        <w:rPr>
          <w:rFonts w:ascii="仿宋" w:hAnsi="仿宋" w:eastAsia="仿宋"/>
          <w:sz w:val="28"/>
          <w:szCs w:val="28"/>
        </w:rPr>
      </w:pPr>
    </w:p>
    <w:p>
      <w:pPr>
        <w:pStyle w:val="9"/>
        <w:jc w:val="left"/>
        <w:rPr>
          <w:rFonts w:ascii="仿宋" w:hAnsi="仿宋" w:eastAsia="仿宋"/>
          <w:sz w:val="24"/>
          <w:szCs w:val="24"/>
        </w:rPr>
      </w:pPr>
      <w:r>
        <w:rPr>
          <w:rFonts w:hint="eastAsia" w:ascii="仿宋" w:hAnsi="仿宋" w:eastAsia="仿宋"/>
          <w:sz w:val="24"/>
          <w:szCs w:val="24"/>
        </w:rPr>
        <w:t>附表1：分项目明细表                                    单位：元</w:t>
      </w:r>
    </w:p>
    <w:tbl>
      <w:tblPr>
        <w:tblStyle w:val="6"/>
        <w:tblW w:w="8379" w:type="dxa"/>
        <w:tblInd w:w="93" w:type="dxa"/>
        <w:tblLayout w:type="autofit"/>
        <w:tblCellMar>
          <w:top w:w="0" w:type="dxa"/>
          <w:left w:w="108" w:type="dxa"/>
          <w:bottom w:w="0" w:type="dxa"/>
          <w:right w:w="108" w:type="dxa"/>
        </w:tblCellMar>
      </w:tblPr>
      <w:tblGrid>
        <w:gridCol w:w="724"/>
        <w:gridCol w:w="3260"/>
        <w:gridCol w:w="2410"/>
        <w:gridCol w:w="1985"/>
      </w:tblGrid>
      <w:tr>
        <w:tblPrEx>
          <w:tblCellMar>
            <w:top w:w="0" w:type="dxa"/>
            <w:left w:w="108" w:type="dxa"/>
            <w:bottom w:w="0" w:type="dxa"/>
            <w:right w:w="108" w:type="dxa"/>
          </w:tblCellMar>
        </w:tblPrEx>
        <w:trPr>
          <w:trHeight w:val="28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326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w:t>
            </w:r>
          </w:p>
        </w:tc>
        <w:tc>
          <w:tcPr>
            <w:tcW w:w="2410"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资金支付类别</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金额</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南县第一污水处理厂提标改质</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主体工程</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23,693,303.85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南县第一污水处理厂提标改质</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造价咨询费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146,000.00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南县第一污水处理厂提标改质</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评估费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58,800.00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南县第一污水处理厂提标改质</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监理费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219,000.00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南县第一污水处理厂提标改质</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设计费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292,700.00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南县第一污水处理厂提标改质</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检测费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66,000.00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南县第一污水处理厂提标改质</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绿化费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100,000.00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南县第一污水处理厂提标改质</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群众补偿费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209,532.00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南县第一污水处理厂提标改质</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税费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8,709.22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24,794,045.07 </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三污四污处理厂</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主体工程</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2,000,000.00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三污四污处理厂</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配套管网设计费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200,000.00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三污四污处理厂</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土地调规费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120,000.00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三污四污处理厂</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PPP预算编制费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120,363.00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三污四污处理厂</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规划评审费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34,320.00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三污四污处理厂</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污水厂设计费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200,000.00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2,674,683.00 </w:t>
            </w: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茅草街水处理厂BOT项目</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主体工程</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4,700,000.00 </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3260"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华阁河口社区污水处理站</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主体工程</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1,500,000.00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配套管网</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241,761.00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小计</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1,741,761.00 </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326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茅草街八百弓污水处理站工程</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主体工程</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900,000.00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仿宋" w:hAnsi="仿宋" w:eastAsia="仿宋" w:cs="宋体"/>
                <w:color w:val="000000"/>
                <w:kern w:val="0"/>
                <w:sz w:val="24"/>
                <w:szCs w:val="24"/>
              </w:rPr>
            </w:pP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配套管网工程</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900,000.00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仿宋" w:hAnsi="仿宋" w:eastAsia="仿宋" w:cs="宋体"/>
                <w:color w:val="000000"/>
                <w:kern w:val="0"/>
                <w:sz w:val="24"/>
                <w:szCs w:val="24"/>
              </w:rPr>
            </w:pP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配套管网设计费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130,000.00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仿宋" w:hAnsi="仿宋" w:eastAsia="仿宋" w:cs="宋体"/>
                <w:color w:val="000000"/>
                <w:kern w:val="0"/>
                <w:sz w:val="24"/>
                <w:szCs w:val="24"/>
              </w:rPr>
            </w:pP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主体工程设计费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50,000.00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仿宋" w:hAnsi="仿宋" w:eastAsia="仿宋" w:cs="宋体"/>
                <w:color w:val="000000"/>
                <w:kern w:val="0"/>
                <w:sz w:val="24"/>
                <w:szCs w:val="24"/>
              </w:rPr>
            </w:pP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用地补偿</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136,880.00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仿宋" w:hAnsi="仿宋" w:eastAsia="仿宋" w:cs="宋体"/>
                <w:color w:val="000000"/>
                <w:kern w:val="0"/>
                <w:sz w:val="24"/>
                <w:szCs w:val="24"/>
              </w:rPr>
            </w:pP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勘察费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12,000.00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小计</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2,128,880.00 </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3260"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华阁河口东岸西岸污水处理站</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配套管网工程</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1,050,000.00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000000" w:sz="4" w:space="0"/>
              <w:right w:val="single" w:color="auto" w:sz="4" w:space="0"/>
            </w:tcBorders>
            <w:vAlign w:val="center"/>
          </w:tcPr>
          <w:p>
            <w:pPr>
              <w:spacing w:line="240" w:lineRule="auto"/>
              <w:rPr>
                <w:rFonts w:ascii="仿宋" w:hAnsi="仿宋" w:eastAsia="仿宋" w:cs="宋体"/>
                <w:color w:val="000000"/>
                <w:kern w:val="0"/>
                <w:sz w:val="24"/>
                <w:szCs w:val="24"/>
              </w:rPr>
            </w:pP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主体工程预算编制费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44,720.00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000000" w:sz="4" w:space="0"/>
              <w:right w:val="single" w:color="auto" w:sz="4" w:space="0"/>
            </w:tcBorders>
            <w:vAlign w:val="center"/>
          </w:tcPr>
          <w:p>
            <w:pPr>
              <w:spacing w:line="240" w:lineRule="auto"/>
              <w:rPr>
                <w:rFonts w:ascii="仿宋" w:hAnsi="仿宋" w:eastAsia="仿宋" w:cs="宋体"/>
                <w:color w:val="000000"/>
                <w:kern w:val="0"/>
                <w:sz w:val="24"/>
                <w:szCs w:val="24"/>
              </w:rPr>
            </w:pP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主体工程及配套工程监理费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150,000.00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小计</w:t>
            </w: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1,244,720.00 </w:t>
            </w:r>
          </w:p>
        </w:tc>
      </w:tr>
      <w:tr>
        <w:tblPrEx>
          <w:tblCellMar>
            <w:top w:w="0" w:type="dxa"/>
            <w:left w:w="108" w:type="dxa"/>
            <w:bottom w:w="0" w:type="dxa"/>
            <w:right w:w="108" w:type="dxa"/>
          </w:tblCellMar>
        </w:tblPrEx>
        <w:trPr>
          <w:trHeight w:val="57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明山头镇南剅村污水处理站配套管网工程</w:t>
            </w: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配套管网工程</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331,600.00 </w:t>
            </w:r>
          </w:p>
        </w:tc>
      </w:tr>
      <w:tr>
        <w:tblPrEx>
          <w:tblCellMar>
            <w:top w:w="0" w:type="dxa"/>
            <w:left w:w="108" w:type="dxa"/>
            <w:bottom w:w="0" w:type="dxa"/>
            <w:right w:w="108" w:type="dxa"/>
          </w:tblCellMar>
        </w:tblPrEx>
        <w:trPr>
          <w:trHeight w:val="285"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3260"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黑臭水治理</w:t>
            </w: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双洋渠黑臭水治理</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436,420.00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差旅费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22,880.00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电费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146,691.83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污水运输费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60,000.00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污泥托运费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387,434.00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1,053,425.83 </w:t>
            </w:r>
          </w:p>
        </w:tc>
      </w:tr>
      <w:tr>
        <w:tblPrEx>
          <w:tblCellMar>
            <w:top w:w="0" w:type="dxa"/>
            <w:left w:w="108" w:type="dxa"/>
            <w:bottom w:w="0" w:type="dxa"/>
            <w:right w:w="108" w:type="dxa"/>
          </w:tblCellMar>
        </w:tblPrEx>
        <w:trPr>
          <w:trHeight w:val="285"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3260"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集镇及农村污水处理PPP</w:t>
            </w: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可行性研究报告</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280,000.00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仿宋" w:hAnsi="仿宋" w:eastAsia="仿宋" w:cs="宋体"/>
                <w:color w:val="000000"/>
                <w:kern w:val="0"/>
                <w:sz w:val="24"/>
                <w:szCs w:val="24"/>
              </w:rPr>
            </w:pP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环评费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200,000.00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仿宋" w:hAnsi="仿宋" w:eastAsia="仿宋" w:cs="宋体"/>
                <w:color w:val="000000"/>
                <w:kern w:val="0"/>
                <w:sz w:val="24"/>
                <w:szCs w:val="24"/>
              </w:rPr>
            </w:pP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咨询费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50,000.00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小计</w:t>
            </w: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530,000.00 </w:t>
            </w:r>
          </w:p>
        </w:tc>
      </w:tr>
      <w:tr>
        <w:tblPrEx>
          <w:tblCellMar>
            <w:top w:w="0" w:type="dxa"/>
            <w:left w:w="108" w:type="dxa"/>
            <w:bottom w:w="0" w:type="dxa"/>
            <w:right w:w="108" w:type="dxa"/>
          </w:tblCellMar>
        </w:tblPrEx>
        <w:trPr>
          <w:trHeight w:val="28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茅草街船闸下水道改造</w:t>
            </w: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管网建设工程</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800,000.00 </w:t>
            </w:r>
          </w:p>
        </w:tc>
      </w:tr>
      <w:tr>
        <w:tblPrEx>
          <w:tblCellMar>
            <w:top w:w="0" w:type="dxa"/>
            <w:left w:w="108" w:type="dxa"/>
            <w:bottom w:w="0" w:type="dxa"/>
            <w:right w:w="108" w:type="dxa"/>
          </w:tblCellMar>
        </w:tblPrEx>
        <w:trPr>
          <w:trHeight w:val="57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326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乡镇污水管网补短板项目设计咨询</w:t>
            </w: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咨询费</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248,000.00 </w:t>
            </w:r>
          </w:p>
        </w:tc>
      </w:tr>
      <w:tr>
        <w:tblPrEx>
          <w:tblCellMar>
            <w:top w:w="0" w:type="dxa"/>
            <w:left w:w="108" w:type="dxa"/>
            <w:bottom w:w="0" w:type="dxa"/>
            <w:right w:w="108" w:type="dxa"/>
          </w:tblCellMar>
        </w:tblPrEx>
        <w:trPr>
          <w:trHeight w:val="54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3260" w:type="dxa"/>
            <w:tcBorders>
              <w:top w:val="nil"/>
              <w:left w:val="nil"/>
              <w:bottom w:val="single" w:color="auto" w:sz="4" w:space="0"/>
              <w:right w:val="single" w:color="auto" w:sz="4" w:space="0"/>
            </w:tcBorders>
            <w:shd w:val="clear" w:color="auto" w:fill="auto"/>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县城重点地段绿化景观修建规划编制费</w:t>
            </w:r>
          </w:p>
        </w:tc>
        <w:tc>
          <w:tcPr>
            <w:tcW w:w="2410" w:type="dxa"/>
            <w:tcBorders>
              <w:top w:val="nil"/>
              <w:left w:val="nil"/>
              <w:bottom w:val="single" w:color="auto" w:sz="4" w:space="0"/>
              <w:right w:val="single" w:color="auto" w:sz="4" w:space="0"/>
            </w:tcBorders>
            <w:shd w:val="clear" w:color="auto" w:fill="auto"/>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规划编制费</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290,000.00 </w:t>
            </w:r>
          </w:p>
        </w:tc>
      </w:tr>
      <w:tr>
        <w:tblPrEx>
          <w:tblCellMar>
            <w:top w:w="0" w:type="dxa"/>
            <w:left w:w="108" w:type="dxa"/>
            <w:bottom w:w="0" w:type="dxa"/>
            <w:right w:w="108" w:type="dxa"/>
          </w:tblCellMar>
        </w:tblPrEx>
        <w:trPr>
          <w:trHeight w:val="285"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3260"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水环境治理工作经费</w:t>
            </w: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麻河口黑臭水治理经费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250,000.00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12乡镇水环境治理工作经费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930,000.00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明山头镇黑臭水治理经费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70,000.00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厂窖城西村水环境治理</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30,000.00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1,280,000.00 </w:t>
            </w:r>
          </w:p>
        </w:tc>
      </w:tr>
      <w:tr>
        <w:tblPrEx>
          <w:tblCellMar>
            <w:top w:w="0" w:type="dxa"/>
            <w:left w:w="108" w:type="dxa"/>
            <w:bottom w:w="0" w:type="dxa"/>
            <w:right w:w="108" w:type="dxa"/>
          </w:tblCellMar>
        </w:tblPrEx>
        <w:trPr>
          <w:trHeight w:val="570"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3260"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二级机构拨款</w:t>
            </w: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自来水水环境设施（消防费用）</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280,000.00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二级机构调账</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1,050,000.00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公用设施管理站</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80,000.00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路灯管理所</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50,000.00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园林绿化处</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70,000.00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德昌公园</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43,344.00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1,573,344.00 </w:t>
            </w:r>
          </w:p>
        </w:tc>
      </w:tr>
      <w:tr>
        <w:tblPrEx>
          <w:tblCellMar>
            <w:top w:w="0" w:type="dxa"/>
            <w:left w:w="108" w:type="dxa"/>
            <w:bottom w:w="0" w:type="dxa"/>
            <w:right w:w="108" w:type="dxa"/>
          </w:tblCellMar>
        </w:tblPrEx>
        <w:trPr>
          <w:trHeight w:val="285" w:hRule="atLeast"/>
        </w:trPr>
        <w:tc>
          <w:tcPr>
            <w:tcW w:w="72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3260"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其他费用</w:t>
            </w: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茅草街总体规划设计</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50,000.00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noWrap/>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专家评审费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9,000.00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专家评审差旅费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640.00 </w:t>
            </w:r>
          </w:p>
        </w:tc>
      </w:tr>
      <w:tr>
        <w:tblPrEx>
          <w:tblCellMar>
            <w:top w:w="0" w:type="dxa"/>
            <w:left w:w="108" w:type="dxa"/>
            <w:bottom w:w="0" w:type="dxa"/>
            <w:right w:w="108" w:type="dxa"/>
          </w:tblCellMar>
        </w:tblPrEx>
        <w:trPr>
          <w:trHeight w:val="285"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2410" w:type="dxa"/>
            <w:tcBorders>
              <w:top w:val="nil"/>
              <w:left w:val="nil"/>
              <w:bottom w:val="single" w:color="auto" w:sz="4" w:space="0"/>
              <w:right w:val="single" w:color="auto" w:sz="4" w:space="0"/>
            </w:tcBorders>
            <w:shd w:val="clear" w:color="auto" w:fill="auto"/>
            <w:vAlign w:val="center"/>
          </w:tcPr>
          <w:p>
            <w:pPr>
              <w:spacing w:line="24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专家评审招待费</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3,595.00 </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eastAsia="宋体" w:cs="宋体"/>
                <w:color w:val="000000"/>
                <w:kern w:val="0"/>
                <w:sz w:val="22"/>
              </w:rPr>
            </w:pPr>
          </w:p>
        </w:tc>
        <w:tc>
          <w:tcPr>
            <w:tcW w:w="3260" w:type="dxa"/>
            <w:tcBorders>
              <w:top w:val="nil"/>
              <w:left w:val="nil"/>
              <w:bottom w:val="single" w:color="auto" w:sz="4" w:space="0"/>
              <w:right w:val="single" w:color="auto"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xml:space="preserve">63,235.00 </w:t>
            </w:r>
          </w:p>
        </w:tc>
      </w:tr>
      <w:tr>
        <w:tblPrEx>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2410"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tcBorders>
              <w:top w:val="nil"/>
              <w:left w:val="nil"/>
              <w:bottom w:val="single" w:color="auto" w:sz="4" w:space="0"/>
              <w:right w:val="single" w:color="auto" w:sz="4" w:space="0"/>
            </w:tcBorders>
            <w:shd w:val="clear" w:color="auto" w:fill="auto"/>
            <w:noWrap/>
            <w:vAlign w:val="bottom"/>
          </w:tcPr>
          <w:p>
            <w:pPr>
              <w:spacing w:line="240" w:lineRule="auto"/>
              <w:rPr>
                <w:rFonts w:ascii="宋体" w:hAnsi="宋体" w:eastAsia="宋体" w:cs="宋体"/>
                <w:kern w:val="0"/>
                <w:sz w:val="22"/>
              </w:rPr>
            </w:pPr>
            <w:r>
              <w:rPr>
                <w:rFonts w:hint="eastAsia" w:ascii="宋体" w:hAnsi="宋体" w:eastAsia="宋体" w:cs="宋体"/>
                <w:kern w:val="0"/>
                <w:sz w:val="22"/>
              </w:rPr>
              <w:t xml:space="preserve">43,453,693.90 </w:t>
            </w:r>
          </w:p>
        </w:tc>
      </w:tr>
    </w:tbl>
    <w:p>
      <w:pPr>
        <w:pStyle w:val="9"/>
        <w:ind w:firstLine="6160" w:firstLineChars="2200"/>
        <w:rPr>
          <w:rFonts w:ascii="仿宋" w:hAnsi="仿宋" w:eastAsia="仿宋"/>
          <w:sz w:val="28"/>
          <w:szCs w:val="28"/>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6338"/>
    </w:sdtPr>
    <w:sdtContent>
      <w:p>
        <w:pPr>
          <w:pStyle w:val="3"/>
          <w:jc w:val="right"/>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7C051"/>
    <w:multiLevelType w:val="singleLevel"/>
    <w:tmpl w:val="44F7C0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479B"/>
    <w:rsid w:val="0000264D"/>
    <w:rsid w:val="000033C0"/>
    <w:rsid w:val="0000343D"/>
    <w:rsid w:val="000035FC"/>
    <w:rsid w:val="00006CA7"/>
    <w:rsid w:val="00007516"/>
    <w:rsid w:val="000107F9"/>
    <w:rsid w:val="000110F3"/>
    <w:rsid w:val="00015B88"/>
    <w:rsid w:val="00021E9D"/>
    <w:rsid w:val="00024EBB"/>
    <w:rsid w:val="00031179"/>
    <w:rsid w:val="00032F35"/>
    <w:rsid w:val="0003637A"/>
    <w:rsid w:val="000428A0"/>
    <w:rsid w:val="00042ADD"/>
    <w:rsid w:val="00042F12"/>
    <w:rsid w:val="0005247B"/>
    <w:rsid w:val="00055BE7"/>
    <w:rsid w:val="00057A73"/>
    <w:rsid w:val="00057F0A"/>
    <w:rsid w:val="000614D9"/>
    <w:rsid w:val="0006206C"/>
    <w:rsid w:val="0006274D"/>
    <w:rsid w:val="00065D78"/>
    <w:rsid w:val="000745F0"/>
    <w:rsid w:val="00076704"/>
    <w:rsid w:val="00077E86"/>
    <w:rsid w:val="00077EF4"/>
    <w:rsid w:val="00083A86"/>
    <w:rsid w:val="00084867"/>
    <w:rsid w:val="000851C9"/>
    <w:rsid w:val="00097307"/>
    <w:rsid w:val="000A0BDB"/>
    <w:rsid w:val="000A18BE"/>
    <w:rsid w:val="000A4C66"/>
    <w:rsid w:val="000A4E3A"/>
    <w:rsid w:val="000A5DD4"/>
    <w:rsid w:val="000A5E95"/>
    <w:rsid w:val="000A6563"/>
    <w:rsid w:val="000A6FEE"/>
    <w:rsid w:val="000A71B2"/>
    <w:rsid w:val="000B740E"/>
    <w:rsid w:val="000C1EBC"/>
    <w:rsid w:val="000C65C8"/>
    <w:rsid w:val="000D0DCB"/>
    <w:rsid w:val="000D1D5A"/>
    <w:rsid w:val="000D2C9F"/>
    <w:rsid w:val="000D4A77"/>
    <w:rsid w:val="000D6FEC"/>
    <w:rsid w:val="000E740D"/>
    <w:rsid w:val="000F2944"/>
    <w:rsid w:val="000F2CE9"/>
    <w:rsid w:val="000F3646"/>
    <w:rsid w:val="000F636F"/>
    <w:rsid w:val="0010078E"/>
    <w:rsid w:val="00102017"/>
    <w:rsid w:val="001056E1"/>
    <w:rsid w:val="00107A9C"/>
    <w:rsid w:val="00110CD4"/>
    <w:rsid w:val="00112BD4"/>
    <w:rsid w:val="00112DDD"/>
    <w:rsid w:val="001135CD"/>
    <w:rsid w:val="00113728"/>
    <w:rsid w:val="001149EC"/>
    <w:rsid w:val="00115C8E"/>
    <w:rsid w:val="00121ED9"/>
    <w:rsid w:val="00122845"/>
    <w:rsid w:val="001230E0"/>
    <w:rsid w:val="00123FDE"/>
    <w:rsid w:val="00125C2C"/>
    <w:rsid w:val="001301FA"/>
    <w:rsid w:val="001329C6"/>
    <w:rsid w:val="00134D22"/>
    <w:rsid w:val="001605DA"/>
    <w:rsid w:val="0016457B"/>
    <w:rsid w:val="0017137B"/>
    <w:rsid w:val="0017596A"/>
    <w:rsid w:val="00182A3D"/>
    <w:rsid w:val="00184877"/>
    <w:rsid w:val="00185BA7"/>
    <w:rsid w:val="001871FE"/>
    <w:rsid w:val="00187994"/>
    <w:rsid w:val="001904B1"/>
    <w:rsid w:val="00190B4A"/>
    <w:rsid w:val="00191A60"/>
    <w:rsid w:val="00192988"/>
    <w:rsid w:val="00193577"/>
    <w:rsid w:val="0019495A"/>
    <w:rsid w:val="001A0109"/>
    <w:rsid w:val="001A2989"/>
    <w:rsid w:val="001B1897"/>
    <w:rsid w:val="001B4229"/>
    <w:rsid w:val="001B4544"/>
    <w:rsid w:val="001C3230"/>
    <w:rsid w:val="001C4ABE"/>
    <w:rsid w:val="001C5B6D"/>
    <w:rsid w:val="001C600F"/>
    <w:rsid w:val="001D031C"/>
    <w:rsid w:val="001D1A63"/>
    <w:rsid w:val="001D3130"/>
    <w:rsid w:val="001D3AC2"/>
    <w:rsid w:val="001D4FF3"/>
    <w:rsid w:val="001D6D84"/>
    <w:rsid w:val="001E0BB2"/>
    <w:rsid w:val="001E4D04"/>
    <w:rsid w:val="001F7505"/>
    <w:rsid w:val="001F7B26"/>
    <w:rsid w:val="00200110"/>
    <w:rsid w:val="00201014"/>
    <w:rsid w:val="00202E2B"/>
    <w:rsid w:val="002063F1"/>
    <w:rsid w:val="0021509E"/>
    <w:rsid w:val="002151F1"/>
    <w:rsid w:val="00216203"/>
    <w:rsid w:val="00216E3E"/>
    <w:rsid w:val="00221F38"/>
    <w:rsid w:val="00224132"/>
    <w:rsid w:val="00225707"/>
    <w:rsid w:val="00230310"/>
    <w:rsid w:val="00230A8B"/>
    <w:rsid w:val="00230C98"/>
    <w:rsid w:val="00230E79"/>
    <w:rsid w:val="00233143"/>
    <w:rsid w:val="0024068E"/>
    <w:rsid w:val="002431DB"/>
    <w:rsid w:val="00243ECA"/>
    <w:rsid w:val="00244785"/>
    <w:rsid w:val="00244F81"/>
    <w:rsid w:val="00251AB6"/>
    <w:rsid w:val="00253235"/>
    <w:rsid w:val="002613E7"/>
    <w:rsid w:val="00261C56"/>
    <w:rsid w:val="00263190"/>
    <w:rsid w:val="00265161"/>
    <w:rsid w:val="00277190"/>
    <w:rsid w:val="002826FA"/>
    <w:rsid w:val="0028361F"/>
    <w:rsid w:val="00283734"/>
    <w:rsid w:val="00285B66"/>
    <w:rsid w:val="0029383E"/>
    <w:rsid w:val="002959C7"/>
    <w:rsid w:val="00296B44"/>
    <w:rsid w:val="00297D90"/>
    <w:rsid w:val="002A0A49"/>
    <w:rsid w:val="002A131F"/>
    <w:rsid w:val="002A5734"/>
    <w:rsid w:val="002A6013"/>
    <w:rsid w:val="002B1C85"/>
    <w:rsid w:val="002B23E1"/>
    <w:rsid w:val="002B378D"/>
    <w:rsid w:val="002B4DDD"/>
    <w:rsid w:val="002B5A1D"/>
    <w:rsid w:val="002B5EAC"/>
    <w:rsid w:val="002B6AAA"/>
    <w:rsid w:val="002B7167"/>
    <w:rsid w:val="002C070A"/>
    <w:rsid w:val="002C23B0"/>
    <w:rsid w:val="002C4C5D"/>
    <w:rsid w:val="002C5FB8"/>
    <w:rsid w:val="002C6762"/>
    <w:rsid w:val="002C6FF0"/>
    <w:rsid w:val="002C71B4"/>
    <w:rsid w:val="002C7542"/>
    <w:rsid w:val="002D48EA"/>
    <w:rsid w:val="002D79CE"/>
    <w:rsid w:val="002D7ADD"/>
    <w:rsid w:val="002E20D7"/>
    <w:rsid w:val="002E2948"/>
    <w:rsid w:val="002E5FE1"/>
    <w:rsid w:val="002E6B93"/>
    <w:rsid w:val="002F004A"/>
    <w:rsid w:val="002F0C6E"/>
    <w:rsid w:val="002F2157"/>
    <w:rsid w:val="002F74C5"/>
    <w:rsid w:val="002F7708"/>
    <w:rsid w:val="003004A5"/>
    <w:rsid w:val="00301596"/>
    <w:rsid w:val="00304944"/>
    <w:rsid w:val="00304BBB"/>
    <w:rsid w:val="00304FCF"/>
    <w:rsid w:val="0030675B"/>
    <w:rsid w:val="00307D1E"/>
    <w:rsid w:val="00314D2B"/>
    <w:rsid w:val="00320E03"/>
    <w:rsid w:val="00320FD1"/>
    <w:rsid w:val="0032168D"/>
    <w:rsid w:val="003236B9"/>
    <w:rsid w:val="00323FA6"/>
    <w:rsid w:val="00326583"/>
    <w:rsid w:val="00336BBA"/>
    <w:rsid w:val="003403E2"/>
    <w:rsid w:val="00344374"/>
    <w:rsid w:val="00346D5A"/>
    <w:rsid w:val="00346F01"/>
    <w:rsid w:val="00350BAC"/>
    <w:rsid w:val="00352603"/>
    <w:rsid w:val="0035273D"/>
    <w:rsid w:val="003548DD"/>
    <w:rsid w:val="003548E6"/>
    <w:rsid w:val="00360E6F"/>
    <w:rsid w:val="00361EFF"/>
    <w:rsid w:val="00362F73"/>
    <w:rsid w:val="00362F8A"/>
    <w:rsid w:val="003751F4"/>
    <w:rsid w:val="0037569B"/>
    <w:rsid w:val="00377085"/>
    <w:rsid w:val="00380095"/>
    <w:rsid w:val="00381313"/>
    <w:rsid w:val="00382315"/>
    <w:rsid w:val="003830C1"/>
    <w:rsid w:val="00383F7D"/>
    <w:rsid w:val="00385750"/>
    <w:rsid w:val="00391986"/>
    <w:rsid w:val="00391AF2"/>
    <w:rsid w:val="00396BA9"/>
    <w:rsid w:val="003A266F"/>
    <w:rsid w:val="003A2DB5"/>
    <w:rsid w:val="003A6B87"/>
    <w:rsid w:val="003A7FE8"/>
    <w:rsid w:val="003B0B5D"/>
    <w:rsid w:val="003B5A80"/>
    <w:rsid w:val="003C1689"/>
    <w:rsid w:val="003C1CCC"/>
    <w:rsid w:val="003C28D1"/>
    <w:rsid w:val="003C3045"/>
    <w:rsid w:val="003C34F4"/>
    <w:rsid w:val="003C675C"/>
    <w:rsid w:val="003D3B10"/>
    <w:rsid w:val="003E074B"/>
    <w:rsid w:val="003E0D75"/>
    <w:rsid w:val="003E240D"/>
    <w:rsid w:val="003E7840"/>
    <w:rsid w:val="003E7AAC"/>
    <w:rsid w:val="003F0093"/>
    <w:rsid w:val="003F291E"/>
    <w:rsid w:val="003F5513"/>
    <w:rsid w:val="003F743C"/>
    <w:rsid w:val="00406FD8"/>
    <w:rsid w:val="004076A6"/>
    <w:rsid w:val="0041034A"/>
    <w:rsid w:val="00411484"/>
    <w:rsid w:val="00414DC8"/>
    <w:rsid w:val="00415CFB"/>
    <w:rsid w:val="00421254"/>
    <w:rsid w:val="00421B69"/>
    <w:rsid w:val="004259F6"/>
    <w:rsid w:val="004272F7"/>
    <w:rsid w:val="00436364"/>
    <w:rsid w:val="004375BE"/>
    <w:rsid w:val="00443FAD"/>
    <w:rsid w:val="004473F6"/>
    <w:rsid w:val="00450016"/>
    <w:rsid w:val="0045022D"/>
    <w:rsid w:val="00450BE0"/>
    <w:rsid w:val="00450CB4"/>
    <w:rsid w:val="00450CE4"/>
    <w:rsid w:val="00453E35"/>
    <w:rsid w:val="00462447"/>
    <w:rsid w:val="00465C54"/>
    <w:rsid w:val="00466FFE"/>
    <w:rsid w:val="00467218"/>
    <w:rsid w:val="00471C40"/>
    <w:rsid w:val="004731EF"/>
    <w:rsid w:val="00473A71"/>
    <w:rsid w:val="004848C6"/>
    <w:rsid w:val="004850A7"/>
    <w:rsid w:val="00490D05"/>
    <w:rsid w:val="00491C9D"/>
    <w:rsid w:val="00495A22"/>
    <w:rsid w:val="004A014B"/>
    <w:rsid w:val="004A06CC"/>
    <w:rsid w:val="004B1088"/>
    <w:rsid w:val="004B41E6"/>
    <w:rsid w:val="004B66D1"/>
    <w:rsid w:val="004C0034"/>
    <w:rsid w:val="004C112D"/>
    <w:rsid w:val="004C3CAC"/>
    <w:rsid w:val="004C40A0"/>
    <w:rsid w:val="004C4C94"/>
    <w:rsid w:val="004D289D"/>
    <w:rsid w:val="004D52F7"/>
    <w:rsid w:val="004E1506"/>
    <w:rsid w:val="004E63C6"/>
    <w:rsid w:val="004F1790"/>
    <w:rsid w:val="004F22F5"/>
    <w:rsid w:val="004F46E8"/>
    <w:rsid w:val="004F51EF"/>
    <w:rsid w:val="004F537E"/>
    <w:rsid w:val="004F570F"/>
    <w:rsid w:val="004F5BCB"/>
    <w:rsid w:val="004F7D01"/>
    <w:rsid w:val="00500267"/>
    <w:rsid w:val="00501D0B"/>
    <w:rsid w:val="005039F3"/>
    <w:rsid w:val="0051059F"/>
    <w:rsid w:val="00511880"/>
    <w:rsid w:val="00517252"/>
    <w:rsid w:val="005176E4"/>
    <w:rsid w:val="005212A9"/>
    <w:rsid w:val="005214AA"/>
    <w:rsid w:val="00525B02"/>
    <w:rsid w:val="005325E1"/>
    <w:rsid w:val="0053357B"/>
    <w:rsid w:val="00534D39"/>
    <w:rsid w:val="00535A9D"/>
    <w:rsid w:val="005409FD"/>
    <w:rsid w:val="00541DA8"/>
    <w:rsid w:val="005438C5"/>
    <w:rsid w:val="00545F1F"/>
    <w:rsid w:val="00553EB6"/>
    <w:rsid w:val="00555A97"/>
    <w:rsid w:val="00557EBF"/>
    <w:rsid w:val="0057221F"/>
    <w:rsid w:val="00572436"/>
    <w:rsid w:val="00572816"/>
    <w:rsid w:val="005757BE"/>
    <w:rsid w:val="0058118B"/>
    <w:rsid w:val="0058174F"/>
    <w:rsid w:val="005838BA"/>
    <w:rsid w:val="005854E2"/>
    <w:rsid w:val="00586894"/>
    <w:rsid w:val="00586B15"/>
    <w:rsid w:val="00586EDC"/>
    <w:rsid w:val="00590A8A"/>
    <w:rsid w:val="00590B26"/>
    <w:rsid w:val="0059179B"/>
    <w:rsid w:val="00592F7B"/>
    <w:rsid w:val="00593DFA"/>
    <w:rsid w:val="00596143"/>
    <w:rsid w:val="00597661"/>
    <w:rsid w:val="005A1D6F"/>
    <w:rsid w:val="005A30FC"/>
    <w:rsid w:val="005A7B9A"/>
    <w:rsid w:val="005A7BD8"/>
    <w:rsid w:val="005B20E6"/>
    <w:rsid w:val="005B2C7B"/>
    <w:rsid w:val="005B46F1"/>
    <w:rsid w:val="005B480E"/>
    <w:rsid w:val="005B5892"/>
    <w:rsid w:val="005B65EA"/>
    <w:rsid w:val="005B79AC"/>
    <w:rsid w:val="005C0116"/>
    <w:rsid w:val="005C01C1"/>
    <w:rsid w:val="005C1704"/>
    <w:rsid w:val="005C3053"/>
    <w:rsid w:val="005C3683"/>
    <w:rsid w:val="005C523B"/>
    <w:rsid w:val="005C56E3"/>
    <w:rsid w:val="005C5B24"/>
    <w:rsid w:val="005C5BFA"/>
    <w:rsid w:val="005D2489"/>
    <w:rsid w:val="005D4E71"/>
    <w:rsid w:val="005D6918"/>
    <w:rsid w:val="005D7B58"/>
    <w:rsid w:val="005E177B"/>
    <w:rsid w:val="005E2594"/>
    <w:rsid w:val="005E3C18"/>
    <w:rsid w:val="005E5B9B"/>
    <w:rsid w:val="005F4A11"/>
    <w:rsid w:val="005F5001"/>
    <w:rsid w:val="005F59BA"/>
    <w:rsid w:val="005F711A"/>
    <w:rsid w:val="005F74D8"/>
    <w:rsid w:val="005F778F"/>
    <w:rsid w:val="005F7BAD"/>
    <w:rsid w:val="00603E0F"/>
    <w:rsid w:val="006052EC"/>
    <w:rsid w:val="00610287"/>
    <w:rsid w:val="00611110"/>
    <w:rsid w:val="00611A95"/>
    <w:rsid w:val="00623063"/>
    <w:rsid w:val="00623431"/>
    <w:rsid w:val="00623797"/>
    <w:rsid w:val="00624519"/>
    <w:rsid w:val="00626F7C"/>
    <w:rsid w:val="00626FB2"/>
    <w:rsid w:val="00630ED8"/>
    <w:rsid w:val="0063151F"/>
    <w:rsid w:val="006326AD"/>
    <w:rsid w:val="00633273"/>
    <w:rsid w:val="00633F4F"/>
    <w:rsid w:val="00635166"/>
    <w:rsid w:val="00636036"/>
    <w:rsid w:val="00641DBE"/>
    <w:rsid w:val="00642CF5"/>
    <w:rsid w:val="006433BF"/>
    <w:rsid w:val="006445D1"/>
    <w:rsid w:val="00645B9D"/>
    <w:rsid w:val="00646243"/>
    <w:rsid w:val="00650573"/>
    <w:rsid w:val="006535E4"/>
    <w:rsid w:val="0065628D"/>
    <w:rsid w:val="00657E97"/>
    <w:rsid w:val="006616CF"/>
    <w:rsid w:val="00661719"/>
    <w:rsid w:val="0066362A"/>
    <w:rsid w:val="00664EFD"/>
    <w:rsid w:val="006743B4"/>
    <w:rsid w:val="00674B59"/>
    <w:rsid w:val="00677E39"/>
    <w:rsid w:val="00680C69"/>
    <w:rsid w:val="006842B2"/>
    <w:rsid w:val="0068580C"/>
    <w:rsid w:val="00686C63"/>
    <w:rsid w:val="00690490"/>
    <w:rsid w:val="006959D8"/>
    <w:rsid w:val="00697D68"/>
    <w:rsid w:val="006A0B5F"/>
    <w:rsid w:val="006B017C"/>
    <w:rsid w:val="006B115A"/>
    <w:rsid w:val="006B2450"/>
    <w:rsid w:val="006B6886"/>
    <w:rsid w:val="006C06A3"/>
    <w:rsid w:val="006C0C7C"/>
    <w:rsid w:val="006C1BF0"/>
    <w:rsid w:val="006C5ECB"/>
    <w:rsid w:val="006D0F3E"/>
    <w:rsid w:val="006D4726"/>
    <w:rsid w:val="006D47AD"/>
    <w:rsid w:val="006D51A8"/>
    <w:rsid w:val="006D60F5"/>
    <w:rsid w:val="006D7164"/>
    <w:rsid w:val="006E03D4"/>
    <w:rsid w:val="006E3F63"/>
    <w:rsid w:val="006E58E7"/>
    <w:rsid w:val="006E6895"/>
    <w:rsid w:val="006F4BEF"/>
    <w:rsid w:val="006F5DB2"/>
    <w:rsid w:val="00700D62"/>
    <w:rsid w:val="00702F04"/>
    <w:rsid w:val="007037AB"/>
    <w:rsid w:val="007045DE"/>
    <w:rsid w:val="0070523C"/>
    <w:rsid w:val="0070704F"/>
    <w:rsid w:val="007076C7"/>
    <w:rsid w:val="007116BF"/>
    <w:rsid w:val="00711C90"/>
    <w:rsid w:val="007142A2"/>
    <w:rsid w:val="007143DF"/>
    <w:rsid w:val="00716382"/>
    <w:rsid w:val="0071699D"/>
    <w:rsid w:val="007202B2"/>
    <w:rsid w:val="00720DB0"/>
    <w:rsid w:val="007217EF"/>
    <w:rsid w:val="00722A20"/>
    <w:rsid w:val="00723281"/>
    <w:rsid w:val="007248E5"/>
    <w:rsid w:val="00725E36"/>
    <w:rsid w:val="00730DB4"/>
    <w:rsid w:val="00734D8D"/>
    <w:rsid w:val="00735E1D"/>
    <w:rsid w:val="00736D13"/>
    <w:rsid w:val="007424DE"/>
    <w:rsid w:val="00745812"/>
    <w:rsid w:val="00745FA3"/>
    <w:rsid w:val="00750D8F"/>
    <w:rsid w:val="00753774"/>
    <w:rsid w:val="00753DB0"/>
    <w:rsid w:val="00755CAC"/>
    <w:rsid w:val="00761CC7"/>
    <w:rsid w:val="00762FF6"/>
    <w:rsid w:val="00764F49"/>
    <w:rsid w:val="00765AE0"/>
    <w:rsid w:val="007726CF"/>
    <w:rsid w:val="00772BB3"/>
    <w:rsid w:val="00774CF3"/>
    <w:rsid w:val="00790FD0"/>
    <w:rsid w:val="007913AE"/>
    <w:rsid w:val="00791649"/>
    <w:rsid w:val="007A090B"/>
    <w:rsid w:val="007A0956"/>
    <w:rsid w:val="007A0F2C"/>
    <w:rsid w:val="007B334A"/>
    <w:rsid w:val="007B5A93"/>
    <w:rsid w:val="007C104E"/>
    <w:rsid w:val="007C1A78"/>
    <w:rsid w:val="007C27D2"/>
    <w:rsid w:val="007C479B"/>
    <w:rsid w:val="007D24C3"/>
    <w:rsid w:val="007D2954"/>
    <w:rsid w:val="007D3079"/>
    <w:rsid w:val="007D3BFD"/>
    <w:rsid w:val="007D5DBF"/>
    <w:rsid w:val="007D642A"/>
    <w:rsid w:val="007D69E2"/>
    <w:rsid w:val="007E4AB3"/>
    <w:rsid w:val="007F02D9"/>
    <w:rsid w:val="007F0307"/>
    <w:rsid w:val="007F0D6F"/>
    <w:rsid w:val="007F2E9B"/>
    <w:rsid w:val="007F320C"/>
    <w:rsid w:val="007F3FE7"/>
    <w:rsid w:val="007F7558"/>
    <w:rsid w:val="00806E17"/>
    <w:rsid w:val="008110BD"/>
    <w:rsid w:val="008158E4"/>
    <w:rsid w:val="00816D2B"/>
    <w:rsid w:val="008173F1"/>
    <w:rsid w:val="00817C9C"/>
    <w:rsid w:val="00830B9F"/>
    <w:rsid w:val="00836F94"/>
    <w:rsid w:val="0084018A"/>
    <w:rsid w:val="008416C7"/>
    <w:rsid w:val="008476D9"/>
    <w:rsid w:val="008511A8"/>
    <w:rsid w:val="00851A90"/>
    <w:rsid w:val="0085690E"/>
    <w:rsid w:val="00861BE1"/>
    <w:rsid w:val="0087366C"/>
    <w:rsid w:val="00874248"/>
    <w:rsid w:val="00874D6F"/>
    <w:rsid w:val="00876774"/>
    <w:rsid w:val="0088348C"/>
    <w:rsid w:val="00883C22"/>
    <w:rsid w:val="00885DDE"/>
    <w:rsid w:val="00890EAA"/>
    <w:rsid w:val="008912C8"/>
    <w:rsid w:val="00896460"/>
    <w:rsid w:val="008B3054"/>
    <w:rsid w:val="008B3CCF"/>
    <w:rsid w:val="008C06E0"/>
    <w:rsid w:val="008D11B0"/>
    <w:rsid w:val="008D2536"/>
    <w:rsid w:val="008D4072"/>
    <w:rsid w:val="008E0B13"/>
    <w:rsid w:val="008E2197"/>
    <w:rsid w:val="008E2AE4"/>
    <w:rsid w:val="008F0793"/>
    <w:rsid w:val="008F1D17"/>
    <w:rsid w:val="008F3C9A"/>
    <w:rsid w:val="008F5496"/>
    <w:rsid w:val="008F7CD8"/>
    <w:rsid w:val="00901BF6"/>
    <w:rsid w:val="00902B42"/>
    <w:rsid w:val="00906C42"/>
    <w:rsid w:val="00910AE2"/>
    <w:rsid w:val="00913385"/>
    <w:rsid w:val="00914888"/>
    <w:rsid w:val="00915F3C"/>
    <w:rsid w:val="0091634E"/>
    <w:rsid w:val="00916688"/>
    <w:rsid w:val="00917FF6"/>
    <w:rsid w:val="009252AC"/>
    <w:rsid w:val="009301F9"/>
    <w:rsid w:val="00933F86"/>
    <w:rsid w:val="0094149B"/>
    <w:rsid w:val="00941E7E"/>
    <w:rsid w:val="00942784"/>
    <w:rsid w:val="00944D1C"/>
    <w:rsid w:val="00944F98"/>
    <w:rsid w:val="009465B3"/>
    <w:rsid w:val="00953DBF"/>
    <w:rsid w:val="00962585"/>
    <w:rsid w:val="00962838"/>
    <w:rsid w:val="00963633"/>
    <w:rsid w:val="00965B32"/>
    <w:rsid w:val="00965BE3"/>
    <w:rsid w:val="00965CC2"/>
    <w:rsid w:val="00965E75"/>
    <w:rsid w:val="00967923"/>
    <w:rsid w:val="00971CF9"/>
    <w:rsid w:val="00975461"/>
    <w:rsid w:val="009776EA"/>
    <w:rsid w:val="0098047D"/>
    <w:rsid w:val="00981134"/>
    <w:rsid w:val="00982925"/>
    <w:rsid w:val="00983B67"/>
    <w:rsid w:val="00985A7B"/>
    <w:rsid w:val="00986A8B"/>
    <w:rsid w:val="00991346"/>
    <w:rsid w:val="00992620"/>
    <w:rsid w:val="0099373F"/>
    <w:rsid w:val="009A1FDF"/>
    <w:rsid w:val="009B16F1"/>
    <w:rsid w:val="009B4C35"/>
    <w:rsid w:val="009C05D3"/>
    <w:rsid w:val="009C1A5A"/>
    <w:rsid w:val="009C20CA"/>
    <w:rsid w:val="009C4027"/>
    <w:rsid w:val="009C6FE4"/>
    <w:rsid w:val="009D1B97"/>
    <w:rsid w:val="009D2F72"/>
    <w:rsid w:val="009D5613"/>
    <w:rsid w:val="009D62C1"/>
    <w:rsid w:val="009E472B"/>
    <w:rsid w:val="009E5D60"/>
    <w:rsid w:val="009E72EA"/>
    <w:rsid w:val="009F1763"/>
    <w:rsid w:val="009F1801"/>
    <w:rsid w:val="009F7F5B"/>
    <w:rsid w:val="00A103EB"/>
    <w:rsid w:val="00A11499"/>
    <w:rsid w:val="00A16B09"/>
    <w:rsid w:val="00A17102"/>
    <w:rsid w:val="00A250D6"/>
    <w:rsid w:val="00A256B7"/>
    <w:rsid w:val="00A27551"/>
    <w:rsid w:val="00A30AB2"/>
    <w:rsid w:val="00A317E9"/>
    <w:rsid w:val="00A31CAA"/>
    <w:rsid w:val="00A363E1"/>
    <w:rsid w:val="00A444E5"/>
    <w:rsid w:val="00A6021B"/>
    <w:rsid w:val="00A618C2"/>
    <w:rsid w:val="00A63E28"/>
    <w:rsid w:val="00A67DE7"/>
    <w:rsid w:val="00A7019E"/>
    <w:rsid w:val="00A705AF"/>
    <w:rsid w:val="00A716DF"/>
    <w:rsid w:val="00A72451"/>
    <w:rsid w:val="00A72CAA"/>
    <w:rsid w:val="00A72E25"/>
    <w:rsid w:val="00A74491"/>
    <w:rsid w:val="00A745B3"/>
    <w:rsid w:val="00A80B83"/>
    <w:rsid w:val="00A827A4"/>
    <w:rsid w:val="00A84D6F"/>
    <w:rsid w:val="00A84E05"/>
    <w:rsid w:val="00A86152"/>
    <w:rsid w:val="00A90EDC"/>
    <w:rsid w:val="00A966B2"/>
    <w:rsid w:val="00A96FEA"/>
    <w:rsid w:val="00A97F45"/>
    <w:rsid w:val="00AA32E9"/>
    <w:rsid w:val="00AA3B5C"/>
    <w:rsid w:val="00AA57E8"/>
    <w:rsid w:val="00AA7E31"/>
    <w:rsid w:val="00AB3D4D"/>
    <w:rsid w:val="00AB54B9"/>
    <w:rsid w:val="00AB62C1"/>
    <w:rsid w:val="00AB6F8A"/>
    <w:rsid w:val="00AC3004"/>
    <w:rsid w:val="00AC6E23"/>
    <w:rsid w:val="00AC7678"/>
    <w:rsid w:val="00AD3467"/>
    <w:rsid w:val="00AD4529"/>
    <w:rsid w:val="00AD4966"/>
    <w:rsid w:val="00AD566F"/>
    <w:rsid w:val="00AD6743"/>
    <w:rsid w:val="00AD6C19"/>
    <w:rsid w:val="00AD75B9"/>
    <w:rsid w:val="00AE0FA4"/>
    <w:rsid w:val="00AE48AE"/>
    <w:rsid w:val="00AE56A7"/>
    <w:rsid w:val="00AE5754"/>
    <w:rsid w:val="00AF159F"/>
    <w:rsid w:val="00AF6CD1"/>
    <w:rsid w:val="00B01687"/>
    <w:rsid w:val="00B07CCF"/>
    <w:rsid w:val="00B11DBC"/>
    <w:rsid w:val="00B128F4"/>
    <w:rsid w:val="00B129D6"/>
    <w:rsid w:val="00B144F7"/>
    <w:rsid w:val="00B1503A"/>
    <w:rsid w:val="00B2396D"/>
    <w:rsid w:val="00B258F9"/>
    <w:rsid w:val="00B3109E"/>
    <w:rsid w:val="00B32EFC"/>
    <w:rsid w:val="00B34A71"/>
    <w:rsid w:val="00B3502A"/>
    <w:rsid w:val="00B36345"/>
    <w:rsid w:val="00B52AEA"/>
    <w:rsid w:val="00B5443A"/>
    <w:rsid w:val="00B56146"/>
    <w:rsid w:val="00B61C92"/>
    <w:rsid w:val="00B61DD4"/>
    <w:rsid w:val="00B62C26"/>
    <w:rsid w:val="00B62EFB"/>
    <w:rsid w:val="00B63D16"/>
    <w:rsid w:val="00B67558"/>
    <w:rsid w:val="00B70DE2"/>
    <w:rsid w:val="00B715F2"/>
    <w:rsid w:val="00B76A37"/>
    <w:rsid w:val="00B8094D"/>
    <w:rsid w:val="00B823C5"/>
    <w:rsid w:val="00B82C8E"/>
    <w:rsid w:val="00B83A19"/>
    <w:rsid w:val="00B9084C"/>
    <w:rsid w:val="00B94492"/>
    <w:rsid w:val="00B94B5C"/>
    <w:rsid w:val="00B97601"/>
    <w:rsid w:val="00BA1B46"/>
    <w:rsid w:val="00BA1FD1"/>
    <w:rsid w:val="00BA25F3"/>
    <w:rsid w:val="00BA350F"/>
    <w:rsid w:val="00BA5EB8"/>
    <w:rsid w:val="00BA6469"/>
    <w:rsid w:val="00BA7481"/>
    <w:rsid w:val="00BC0786"/>
    <w:rsid w:val="00BC17ED"/>
    <w:rsid w:val="00BC1D88"/>
    <w:rsid w:val="00BC2C85"/>
    <w:rsid w:val="00BC2EA5"/>
    <w:rsid w:val="00BC49A5"/>
    <w:rsid w:val="00BC5E41"/>
    <w:rsid w:val="00BD064C"/>
    <w:rsid w:val="00BD150F"/>
    <w:rsid w:val="00BD3D86"/>
    <w:rsid w:val="00BD3F8B"/>
    <w:rsid w:val="00BD496F"/>
    <w:rsid w:val="00BD4F67"/>
    <w:rsid w:val="00BE21B1"/>
    <w:rsid w:val="00BE24E4"/>
    <w:rsid w:val="00BE4B7D"/>
    <w:rsid w:val="00BE5AB0"/>
    <w:rsid w:val="00BE7358"/>
    <w:rsid w:val="00BF0045"/>
    <w:rsid w:val="00BF1C39"/>
    <w:rsid w:val="00BF43BD"/>
    <w:rsid w:val="00BF74D2"/>
    <w:rsid w:val="00C02978"/>
    <w:rsid w:val="00C13708"/>
    <w:rsid w:val="00C214A4"/>
    <w:rsid w:val="00C24B84"/>
    <w:rsid w:val="00C26DDA"/>
    <w:rsid w:val="00C30297"/>
    <w:rsid w:val="00C31D03"/>
    <w:rsid w:val="00C34077"/>
    <w:rsid w:val="00C352EC"/>
    <w:rsid w:val="00C352F4"/>
    <w:rsid w:val="00C36DF0"/>
    <w:rsid w:val="00C379F0"/>
    <w:rsid w:val="00C40437"/>
    <w:rsid w:val="00C411CF"/>
    <w:rsid w:val="00C41489"/>
    <w:rsid w:val="00C43F1A"/>
    <w:rsid w:val="00C44EB1"/>
    <w:rsid w:val="00C47527"/>
    <w:rsid w:val="00C51065"/>
    <w:rsid w:val="00C53ABC"/>
    <w:rsid w:val="00C5451A"/>
    <w:rsid w:val="00C577B7"/>
    <w:rsid w:val="00C600F2"/>
    <w:rsid w:val="00C67E76"/>
    <w:rsid w:val="00C74ADC"/>
    <w:rsid w:val="00C7652E"/>
    <w:rsid w:val="00C81450"/>
    <w:rsid w:val="00C8390A"/>
    <w:rsid w:val="00C83B58"/>
    <w:rsid w:val="00C843B9"/>
    <w:rsid w:val="00C86ECA"/>
    <w:rsid w:val="00C86F75"/>
    <w:rsid w:val="00C93309"/>
    <w:rsid w:val="00C93461"/>
    <w:rsid w:val="00C95A51"/>
    <w:rsid w:val="00C977E6"/>
    <w:rsid w:val="00CA2F8F"/>
    <w:rsid w:val="00CA6AA2"/>
    <w:rsid w:val="00CB2F54"/>
    <w:rsid w:val="00CB41C4"/>
    <w:rsid w:val="00CB7BFA"/>
    <w:rsid w:val="00CC04E2"/>
    <w:rsid w:val="00CC327B"/>
    <w:rsid w:val="00CC6803"/>
    <w:rsid w:val="00CC6F0D"/>
    <w:rsid w:val="00CD18CF"/>
    <w:rsid w:val="00CD43E3"/>
    <w:rsid w:val="00CD76C8"/>
    <w:rsid w:val="00CE187E"/>
    <w:rsid w:val="00CE788B"/>
    <w:rsid w:val="00CF314D"/>
    <w:rsid w:val="00CF4023"/>
    <w:rsid w:val="00CF581C"/>
    <w:rsid w:val="00D0240F"/>
    <w:rsid w:val="00D026D1"/>
    <w:rsid w:val="00D03BC8"/>
    <w:rsid w:val="00D040E6"/>
    <w:rsid w:val="00D043DF"/>
    <w:rsid w:val="00D1058A"/>
    <w:rsid w:val="00D123AB"/>
    <w:rsid w:val="00D12DD8"/>
    <w:rsid w:val="00D13172"/>
    <w:rsid w:val="00D157D1"/>
    <w:rsid w:val="00D15C82"/>
    <w:rsid w:val="00D15FCC"/>
    <w:rsid w:val="00D2067D"/>
    <w:rsid w:val="00D304F1"/>
    <w:rsid w:val="00D309D8"/>
    <w:rsid w:val="00D31A0F"/>
    <w:rsid w:val="00D40E58"/>
    <w:rsid w:val="00D413C9"/>
    <w:rsid w:val="00D4633C"/>
    <w:rsid w:val="00D476BC"/>
    <w:rsid w:val="00D47851"/>
    <w:rsid w:val="00D53B10"/>
    <w:rsid w:val="00D55C23"/>
    <w:rsid w:val="00D5634F"/>
    <w:rsid w:val="00D57080"/>
    <w:rsid w:val="00D60319"/>
    <w:rsid w:val="00D61946"/>
    <w:rsid w:val="00D62CA4"/>
    <w:rsid w:val="00D630B3"/>
    <w:rsid w:val="00D64511"/>
    <w:rsid w:val="00D67A0A"/>
    <w:rsid w:val="00D71666"/>
    <w:rsid w:val="00D71EA9"/>
    <w:rsid w:val="00D737EC"/>
    <w:rsid w:val="00D74D88"/>
    <w:rsid w:val="00D75290"/>
    <w:rsid w:val="00D759FF"/>
    <w:rsid w:val="00D80C7F"/>
    <w:rsid w:val="00D82A23"/>
    <w:rsid w:val="00D85FBC"/>
    <w:rsid w:val="00D92EE3"/>
    <w:rsid w:val="00D94F4B"/>
    <w:rsid w:val="00D9693B"/>
    <w:rsid w:val="00D96BC5"/>
    <w:rsid w:val="00D97905"/>
    <w:rsid w:val="00DA4C1E"/>
    <w:rsid w:val="00DA7E41"/>
    <w:rsid w:val="00DB2142"/>
    <w:rsid w:val="00DB3493"/>
    <w:rsid w:val="00DB3607"/>
    <w:rsid w:val="00DB3862"/>
    <w:rsid w:val="00DB3A8A"/>
    <w:rsid w:val="00DB3CC6"/>
    <w:rsid w:val="00DD177E"/>
    <w:rsid w:val="00DD3E26"/>
    <w:rsid w:val="00DE478E"/>
    <w:rsid w:val="00DE4E07"/>
    <w:rsid w:val="00DE778E"/>
    <w:rsid w:val="00DE79D4"/>
    <w:rsid w:val="00DF0522"/>
    <w:rsid w:val="00DF5D2E"/>
    <w:rsid w:val="00DF5E1F"/>
    <w:rsid w:val="00DF7752"/>
    <w:rsid w:val="00E015E9"/>
    <w:rsid w:val="00E019D3"/>
    <w:rsid w:val="00E01E69"/>
    <w:rsid w:val="00E02C1F"/>
    <w:rsid w:val="00E03242"/>
    <w:rsid w:val="00E03BB4"/>
    <w:rsid w:val="00E07251"/>
    <w:rsid w:val="00E07418"/>
    <w:rsid w:val="00E07B52"/>
    <w:rsid w:val="00E10566"/>
    <w:rsid w:val="00E13FC5"/>
    <w:rsid w:val="00E20FB3"/>
    <w:rsid w:val="00E2302E"/>
    <w:rsid w:val="00E25418"/>
    <w:rsid w:val="00E25B88"/>
    <w:rsid w:val="00E25BE8"/>
    <w:rsid w:val="00E271A9"/>
    <w:rsid w:val="00E3253A"/>
    <w:rsid w:val="00E32A90"/>
    <w:rsid w:val="00E379E6"/>
    <w:rsid w:val="00E416F6"/>
    <w:rsid w:val="00E4643C"/>
    <w:rsid w:val="00E46F75"/>
    <w:rsid w:val="00E5154B"/>
    <w:rsid w:val="00E5248B"/>
    <w:rsid w:val="00E52DA4"/>
    <w:rsid w:val="00E5658B"/>
    <w:rsid w:val="00E600B3"/>
    <w:rsid w:val="00E608E7"/>
    <w:rsid w:val="00E61C8A"/>
    <w:rsid w:val="00E624D2"/>
    <w:rsid w:val="00E625CC"/>
    <w:rsid w:val="00E707AC"/>
    <w:rsid w:val="00E70BBA"/>
    <w:rsid w:val="00E735F5"/>
    <w:rsid w:val="00E86A52"/>
    <w:rsid w:val="00E90308"/>
    <w:rsid w:val="00E91981"/>
    <w:rsid w:val="00E9260B"/>
    <w:rsid w:val="00E933F0"/>
    <w:rsid w:val="00EA5019"/>
    <w:rsid w:val="00EA5633"/>
    <w:rsid w:val="00EA609A"/>
    <w:rsid w:val="00EA73A7"/>
    <w:rsid w:val="00EB0DA3"/>
    <w:rsid w:val="00EB3626"/>
    <w:rsid w:val="00EB524A"/>
    <w:rsid w:val="00EC4235"/>
    <w:rsid w:val="00EC5960"/>
    <w:rsid w:val="00EC7C07"/>
    <w:rsid w:val="00ED3121"/>
    <w:rsid w:val="00ED44ED"/>
    <w:rsid w:val="00ED5AEB"/>
    <w:rsid w:val="00ED6EC1"/>
    <w:rsid w:val="00EE0FC1"/>
    <w:rsid w:val="00EF2C50"/>
    <w:rsid w:val="00EF5684"/>
    <w:rsid w:val="00F01870"/>
    <w:rsid w:val="00F062E3"/>
    <w:rsid w:val="00F06395"/>
    <w:rsid w:val="00F06EDC"/>
    <w:rsid w:val="00F0754B"/>
    <w:rsid w:val="00F11F5A"/>
    <w:rsid w:val="00F127F0"/>
    <w:rsid w:val="00F219B3"/>
    <w:rsid w:val="00F21D7C"/>
    <w:rsid w:val="00F23AF7"/>
    <w:rsid w:val="00F2548F"/>
    <w:rsid w:val="00F30DE9"/>
    <w:rsid w:val="00F34392"/>
    <w:rsid w:val="00F362C8"/>
    <w:rsid w:val="00F37D3E"/>
    <w:rsid w:val="00F40240"/>
    <w:rsid w:val="00F4242D"/>
    <w:rsid w:val="00F424D4"/>
    <w:rsid w:val="00F42AF0"/>
    <w:rsid w:val="00F42DBC"/>
    <w:rsid w:val="00F4550E"/>
    <w:rsid w:val="00F544D3"/>
    <w:rsid w:val="00F62984"/>
    <w:rsid w:val="00F631EF"/>
    <w:rsid w:val="00F65535"/>
    <w:rsid w:val="00F67E86"/>
    <w:rsid w:val="00F70C99"/>
    <w:rsid w:val="00F75CA9"/>
    <w:rsid w:val="00F7745D"/>
    <w:rsid w:val="00F82D49"/>
    <w:rsid w:val="00F86DCE"/>
    <w:rsid w:val="00F91A10"/>
    <w:rsid w:val="00F92B33"/>
    <w:rsid w:val="00F93178"/>
    <w:rsid w:val="00FA259F"/>
    <w:rsid w:val="00FA284C"/>
    <w:rsid w:val="00FA3DF8"/>
    <w:rsid w:val="00FA421C"/>
    <w:rsid w:val="00FA52B5"/>
    <w:rsid w:val="00FA6BED"/>
    <w:rsid w:val="00FA6E82"/>
    <w:rsid w:val="00FB15D6"/>
    <w:rsid w:val="00FB2EA5"/>
    <w:rsid w:val="00FB4253"/>
    <w:rsid w:val="00FD00C1"/>
    <w:rsid w:val="00FD015A"/>
    <w:rsid w:val="00FE31DF"/>
    <w:rsid w:val="00FE3C23"/>
    <w:rsid w:val="00FF03B0"/>
    <w:rsid w:val="00FF5F95"/>
    <w:rsid w:val="073C4B29"/>
    <w:rsid w:val="07C7099F"/>
    <w:rsid w:val="0B465380"/>
    <w:rsid w:val="0F80391C"/>
    <w:rsid w:val="139E6CC7"/>
    <w:rsid w:val="152E5EEC"/>
    <w:rsid w:val="1B062C36"/>
    <w:rsid w:val="1FF84EF2"/>
    <w:rsid w:val="2719110D"/>
    <w:rsid w:val="27AF3AD2"/>
    <w:rsid w:val="2E7D7994"/>
    <w:rsid w:val="31782275"/>
    <w:rsid w:val="32C60B01"/>
    <w:rsid w:val="345D27B8"/>
    <w:rsid w:val="37603D5F"/>
    <w:rsid w:val="37885DF4"/>
    <w:rsid w:val="3EA62646"/>
    <w:rsid w:val="3F357C88"/>
    <w:rsid w:val="420F1B9A"/>
    <w:rsid w:val="4534029A"/>
    <w:rsid w:val="459C7A86"/>
    <w:rsid w:val="47B05F68"/>
    <w:rsid w:val="480C59EA"/>
    <w:rsid w:val="49AC4572"/>
    <w:rsid w:val="4A3E2980"/>
    <w:rsid w:val="4AFA0A23"/>
    <w:rsid w:val="4B3D7CFC"/>
    <w:rsid w:val="4BB22F56"/>
    <w:rsid w:val="50977AC5"/>
    <w:rsid w:val="51823560"/>
    <w:rsid w:val="523F7BDA"/>
    <w:rsid w:val="53C10EEE"/>
    <w:rsid w:val="53E12E5C"/>
    <w:rsid w:val="54E973C8"/>
    <w:rsid w:val="560866F6"/>
    <w:rsid w:val="56ED6BDD"/>
    <w:rsid w:val="577E2B19"/>
    <w:rsid w:val="5C481B94"/>
    <w:rsid w:val="5EB11C0D"/>
    <w:rsid w:val="705A7861"/>
    <w:rsid w:val="72A03FF2"/>
    <w:rsid w:val="74CE4818"/>
    <w:rsid w:val="778A683F"/>
    <w:rsid w:val="7A385951"/>
    <w:rsid w:val="7AEA72B1"/>
    <w:rsid w:val="7DE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pPr>
      <w:spacing w:line="240" w:lineRule="auto"/>
    </w:pPr>
    <w:rPr>
      <w:sz w:val="18"/>
      <w:szCs w:val="18"/>
    </w:rPr>
  </w:style>
  <w:style w:type="paragraph" w:styleId="3">
    <w:name w:val="footer"/>
    <w:basedOn w:val="1"/>
    <w:link w:val="12"/>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0"/>
    <w:pPr>
      <w:spacing w:before="100" w:beforeAutospacing="1" w:after="100" w:afterAutospacing="1"/>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p0"/>
    <w:basedOn w:val="1"/>
    <w:qFormat/>
    <w:uiPriority w:val="0"/>
    <w:pPr>
      <w:spacing w:before="100" w:beforeAutospacing="1" w:after="100" w:afterAutospacing="1" w:line="240" w:lineRule="auto"/>
    </w:pPr>
    <w:rPr>
      <w:rFonts w:ascii="宋体" w:hAnsi="宋体" w:eastAsia="宋体" w:cs="宋体"/>
      <w:color w:val="000000"/>
      <w:kern w:val="0"/>
      <w:sz w:val="18"/>
      <w:szCs w:val="18"/>
    </w:rPr>
  </w:style>
  <w:style w:type="character" w:customStyle="1" w:styleId="14">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6D82D1-CB87-4835-A024-00DAB9F09B02}">
  <ds:schemaRefs/>
</ds:datastoreItem>
</file>

<file path=docProps/app.xml><?xml version="1.0" encoding="utf-8"?>
<Properties xmlns="http://schemas.openxmlformats.org/officeDocument/2006/extended-properties" xmlns:vt="http://schemas.openxmlformats.org/officeDocument/2006/docPropsVTypes">
  <Template>Normal</Template>
  <Pages>13</Pages>
  <Words>1428</Words>
  <Characters>8142</Characters>
  <Lines>67</Lines>
  <Paragraphs>19</Paragraphs>
  <TotalTime>2076</TotalTime>
  <ScaleCrop>false</ScaleCrop>
  <LinksUpToDate>false</LinksUpToDate>
  <CharactersWithSpaces>9551</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2019-06-06T07:34:00Z</dcterms:created>
  <dc:creator>Administrator</dc:creator>
  <cp:lastModifiedBy>Administrator</cp:lastModifiedBy>
  <cp:lastPrinted>2020-10-12T03:17:00Z</cp:lastPrinted>
  <dcterms:modified xsi:type="dcterms:W3CDTF">2021-09-07T08:50:08Z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6939AF4D44D34D37AA7A4BB9C168CCA8</vt:lpwstr>
  </property>
</Properties>
</file>