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900" w:lineRule="atLeast"/>
        <w:jc w:val="center"/>
        <w:outlineLvl w:val="0"/>
        <w:rPr>
          <w:rFonts w:ascii="仿宋" w:hAnsi="仿宋" w:eastAsia="仿宋" w:cs="宋体"/>
          <w:b/>
          <w:bCs/>
          <w:color w:val="333333"/>
          <w:kern w:val="36"/>
          <w:sz w:val="36"/>
          <w:szCs w:val="36"/>
        </w:rPr>
      </w:pPr>
    </w:p>
    <w:p>
      <w:pPr>
        <w:shd w:val="clear" w:color="auto" w:fill="FFFFFF"/>
        <w:spacing w:line="900" w:lineRule="atLeast"/>
        <w:jc w:val="center"/>
        <w:outlineLvl w:val="0"/>
        <w:rPr>
          <w:rFonts w:ascii="仿宋" w:hAnsi="仿宋" w:eastAsia="仿宋" w:cs="宋体"/>
          <w:b/>
          <w:bCs/>
          <w:color w:val="333333"/>
          <w:kern w:val="36"/>
          <w:sz w:val="36"/>
          <w:szCs w:val="36"/>
        </w:rPr>
      </w:pPr>
    </w:p>
    <w:p>
      <w:pPr>
        <w:tabs>
          <w:tab w:val="left" w:pos="1260"/>
          <w:tab w:val="left" w:pos="6090"/>
        </w:tabs>
        <w:spacing w:line="740" w:lineRule="exact"/>
        <w:jc w:val="center"/>
        <w:rPr>
          <w:rFonts w:ascii="仿宋" w:hAnsi="仿宋" w:eastAsia="仿宋"/>
          <w:b/>
          <w:spacing w:val="24"/>
          <w:sz w:val="52"/>
          <w:szCs w:val="52"/>
        </w:rPr>
      </w:pPr>
      <w:bookmarkStart w:id="0" w:name="_GoBack"/>
      <w:bookmarkEnd w:id="0"/>
    </w:p>
    <w:p>
      <w:pPr>
        <w:shd w:val="clear" w:color="auto" w:fill="FFFFFF"/>
        <w:tabs>
          <w:tab w:val="left" w:pos="1725"/>
          <w:tab w:val="center" w:pos="4215"/>
        </w:tabs>
        <w:spacing w:line="520" w:lineRule="exact"/>
        <w:ind w:firstLine="2530" w:firstLineChars="700"/>
        <w:outlineLvl w:val="0"/>
        <w:rPr>
          <w:rFonts w:ascii="仿宋" w:hAnsi="仿宋" w:eastAsia="仿宋"/>
          <w:b/>
          <w:sz w:val="36"/>
          <w:szCs w:val="36"/>
        </w:rPr>
      </w:pPr>
      <w:r>
        <w:rPr>
          <w:rFonts w:hint="eastAsia" w:ascii="仿宋" w:hAnsi="仿宋" w:eastAsia="仿宋"/>
          <w:b/>
          <w:sz w:val="36"/>
          <w:szCs w:val="36"/>
        </w:rPr>
        <w:t>南县住房和城乡建设局</w:t>
      </w:r>
    </w:p>
    <w:p>
      <w:pPr>
        <w:shd w:val="clear" w:color="auto" w:fill="FFFFFF"/>
        <w:tabs>
          <w:tab w:val="left" w:pos="1725"/>
          <w:tab w:val="center" w:pos="4215"/>
        </w:tabs>
        <w:spacing w:line="520" w:lineRule="exact"/>
        <w:ind w:firstLine="181" w:firstLineChars="50"/>
        <w:jc w:val="center"/>
        <w:outlineLvl w:val="0"/>
        <w:rPr>
          <w:rFonts w:ascii="仿宋" w:hAnsi="仿宋" w:eastAsia="仿宋"/>
          <w:b/>
          <w:sz w:val="36"/>
          <w:szCs w:val="36"/>
        </w:rPr>
      </w:pPr>
      <w:r>
        <w:rPr>
          <w:rFonts w:hint="eastAsia" w:ascii="仿宋" w:hAnsi="仿宋" w:eastAsia="仿宋"/>
          <w:b/>
          <w:sz w:val="36"/>
          <w:szCs w:val="36"/>
        </w:rPr>
        <w:t>2020年污水处理工程管理专项资金</w:t>
      </w:r>
    </w:p>
    <w:p>
      <w:pPr>
        <w:spacing w:line="520" w:lineRule="exact"/>
        <w:ind w:left="3045" w:leftChars="1450" w:firstLine="181" w:firstLineChars="50"/>
        <w:rPr>
          <w:rFonts w:ascii="仿宋" w:hAnsi="仿宋" w:eastAsia="仿宋"/>
          <w:b/>
          <w:sz w:val="36"/>
          <w:szCs w:val="36"/>
        </w:rPr>
      </w:pPr>
      <w:r>
        <w:rPr>
          <w:rFonts w:hint="eastAsia" w:ascii="仿宋" w:hAnsi="仿宋" w:eastAsia="仿宋"/>
          <w:b/>
          <w:sz w:val="36"/>
          <w:szCs w:val="36"/>
        </w:rPr>
        <w:t>绩效评价报告</w:t>
      </w:r>
    </w:p>
    <w:p>
      <w:pPr>
        <w:ind w:firstLine="2296" w:firstLineChars="700"/>
        <w:rPr>
          <w:rFonts w:ascii="仿宋" w:hAnsi="仿宋" w:eastAsia="仿宋"/>
          <w:spacing w:val="24"/>
          <w:sz w:val="28"/>
          <w:szCs w:val="28"/>
        </w:rPr>
      </w:pPr>
    </w:p>
    <w:p>
      <w:pPr>
        <w:ind w:firstLine="480" w:firstLineChars="200"/>
        <w:rPr>
          <w:rFonts w:ascii="仿宋" w:hAnsi="仿宋" w:eastAsia="仿宋"/>
          <w:sz w:val="24"/>
          <w:szCs w:val="24"/>
        </w:rPr>
      </w:pPr>
      <w:r>
        <w:rPr>
          <w:rFonts w:hint="eastAsia" w:ascii="仿宋" w:hAnsi="仿宋" w:eastAsia="仿宋"/>
          <w:sz w:val="24"/>
          <w:szCs w:val="24"/>
        </w:rPr>
        <w:t>为进一步规范财政资金管理，强化财政资金支出绩效理念，切实提高财政资金使用效益，根据《中共中央 国务院关于全面实施预算绩效管理的意见》（中发〔2018〕34号）、《中共湖南省委办公厅、湖南省人民政府办公厅关于全面实施绩效管理的实施意见》（湘办发〔2019〕10号）、《预算绩效管理工作考核办法》（湘财绩〔2015〕15号）、《关于对2020年度专项资金开展重点绩效评价工作的通知》（南财绩函〔2021〕10号）等文件要求，受南县财政局的委托，我所成立专项资金绩效评价工作组，于2021年4月20日—6月30日对南县住房和城乡建设局2020年度“污水处理工程管理专项资金”（以下简称项目资金）开展了绩效评价。现将有关情况报告如下：</w:t>
      </w:r>
    </w:p>
    <w:p>
      <w:pPr>
        <w:pStyle w:val="9"/>
        <w:ind w:firstLine="803" w:firstLineChars="250"/>
        <w:rPr>
          <w:rFonts w:ascii="仿宋" w:hAnsi="仿宋" w:eastAsia="仿宋"/>
          <w:b/>
          <w:sz w:val="32"/>
          <w:szCs w:val="32"/>
        </w:rPr>
      </w:pPr>
      <w:r>
        <w:rPr>
          <w:rFonts w:hint="eastAsia" w:ascii="仿宋" w:hAnsi="仿宋" w:eastAsia="仿宋"/>
          <w:b/>
          <w:sz w:val="32"/>
          <w:szCs w:val="32"/>
        </w:rPr>
        <w:t>一、基本情况</w:t>
      </w:r>
    </w:p>
    <w:p>
      <w:pPr>
        <w:overflowPunct w:val="0"/>
        <w:topLinePunct/>
        <w:spacing w:line="580" w:lineRule="exact"/>
        <w:ind w:left="319" w:leftChars="152" w:firstLine="241" w:firstLineChars="100"/>
        <w:textAlignment w:val="baseline"/>
        <w:rPr>
          <w:rFonts w:ascii="仿宋" w:hAnsi="仿宋" w:eastAsia="仿宋"/>
          <w:b/>
          <w:sz w:val="24"/>
          <w:szCs w:val="24"/>
        </w:rPr>
      </w:pPr>
      <w:r>
        <w:rPr>
          <w:rFonts w:hint="eastAsia" w:ascii="仿宋" w:hAnsi="仿宋" w:eastAsia="仿宋"/>
          <w:b/>
          <w:sz w:val="24"/>
          <w:szCs w:val="24"/>
        </w:rPr>
        <w:t>（一）项目单位基本情况。</w:t>
      </w:r>
    </w:p>
    <w:p>
      <w:pPr>
        <w:overflowPunct w:val="0"/>
        <w:topLinePunct/>
        <w:spacing w:line="580" w:lineRule="exact"/>
        <w:ind w:left="319" w:leftChars="152" w:firstLine="240" w:firstLineChars="100"/>
        <w:textAlignment w:val="baseline"/>
        <w:rPr>
          <w:rFonts w:ascii="仿宋" w:hAnsi="仿宋" w:eastAsia="仿宋"/>
          <w:sz w:val="24"/>
          <w:szCs w:val="24"/>
        </w:rPr>
      </w:pPr>
      <w:r>
        <w:rPr>
          <w:rFonts w:hint="eastAsia" w:ascii="仿宋" w:hAnsi="仿宋" w:eastAsia="仿宋"/>
          <w:sz w:val="24"/>
          <w:szCs w:val="24"/>
        </w:rPr>
        <w:t>1.机构设置及人员情况。南县住房和城乡建设局（人防办）属正科级行政单位，内设股室11个，所属事业单位10个（含二级独立核算事业单位德昌公园管理所）。全</w:t>
      </w:r>
      <w:r>
        <w:rPr>
          <w:rFonts w:hint="eastAsia" w:ascii="仿宋" w:hAnsi="仿宋" w:eastAsia="仿宋" w:cs="仿宋"/>
          <w:sz w:val="24"/>
          <w:szCs w:val="24"/>
        </w:rPr>
        <w:t>局实有职工人数169 人，其中：行政编制20人，全额事业编制61人，差额编制15人，自收自支编制25人，长期聘用人员6人，离休1人，退休41人。</w:t>
      </w:r>
    </w:p>
    <w:p>
      <w:pPr>
        <w:ind w:firstLine="480" w:firstLineChars="200"/>
        <w:rPr>
          <w:rFonts w:ascii="仿宋_GB2312" w:eastAsia="仿宋_GB2312"/>
          <w:sz w:val="32"/>
          <w:szCs w:val="32"/>
        </w:rPr>
      </w:pPr>
      <w:r>
        <w:rPr>
          <w:rFonts w:hint="eastAsia" w:ascii="仿宋" w:hAnsi="仿宋" w:eastAsia="仿宋"/>
          <w:sz w:val="24"/>
          <w:szCs w:val="24"/>
        </w:rPr>
        <w:t>2.主要工作职责。主要负责全县城乡建设、人民防空、房地产业管理、建筑市场管理与建设工程质量安全监督、供水供气、污水和黑臭水体治理、新型城镇化、农村危房改造、公园管理等工作</w:t>
      </w:r>
      <w:r>
        <w:rPr>
          <w:rFonts w:hint="eastAsia" w:ascii="仿宋_GB2312" w:eastAsia="仿宋_GB2312"/>
          <w:sz w:val="32"/>
          <w:szCs w:val="32"/>
        </w:rPr>
        <w:t>。</w:t>
      </w:r>
    </w:p>
    <w:p>
      <w:pPr>
        <w:pStyle w:val="5"/>
        <w:shd w:val="clear" w:color="auto" w:fill="FFFFFF"/>
        <w:spacing w:before="0" w:beforeAutospacing="0" w:after="0" w:afterAutospacing="0"/>
        <w:ind w:firstLine="482"/>
        <w:rPr>
          <w:rFonts w:hint="eastAsia" w:ascii="仿宋" w:hAnsi="仿宋" w:eastAsia="仿宋"/>
        </w:rPr>
      </w:pPr>
      <w:r>
        <w:rPr>
          <w:rFonts w:hint="eastAsia" w:ascii="仿宋" w:hAnsi="仿宋" w:eastAsia="仿宋"/>
          <w:b/>
        </w:rPr>
        <w:t>（二）项目基本情况</w:t>
      </w:r>
      <w:r>
        <w:rPr>
          <w:rFonts w:hint="eastAsia" w:ascii="仿宋" w:hAnsi="仿宋" w:eastAsia="仿宋"/>
        </w:rPr>
        <w:t>。污水管理经费专项资金主要是用于黑臭水治理、全县污水处理厂建设、日常管理与运营及配套管网建设工作中产生的管理费用。2020年南县住房和城乡建设局向县财政申请污水管理经费专项资金预算55万元，南县财政局结合以前年度资金实际安排情况，经报请人大批准安排了55万元的专项资金。</w:t>
      </w:r>
    </w:p>
    <w:p>
      <w:pPr>
        <w:pStyle w:val="5"/>
        <w:shd w:val="clear" w:color="auto" w:fill="FFFFFF"/>
        <w:spacing w:before="0" w:beforeAutospacing="0" w:after="0" w:afterAutospacing="0"/>
        <w:ind w:firstLine="482"/>
        <w:rPr>
          <w:rFonts w:hint="eastAsia" w:ascii="仿宋" w:hAnsi="仿宋" w:eastAsia="仿宋"/>
        </w:rPr>
      </w:pPr>
      <w:r>
        <w:rPr>
          <w:rFonts w:hint="eastAsia" w:ascii="仿宋" w:hAnsi="仿宋" w:eastAsia="仿宋"/>
          <w:b/>
        </w:rPr>
        <w:t>（三）项目绩效设定情况。</w:t>
      </w:r>
      <w:r>
        <w:rPr>
          <w:rFonts w:hint="eastAsia" w:ascii="仿宋" w:hAnsi="仿宋" w:eastAsia="仿宋"/>
        </w:rPr>
        <w:t>2020年南县住房和城乡建设局在申请污水管理经费时设定了如下绩效目标：</w:t>
      </w:r>
    </w:p>
    <w:p>
      <w:pPr>
        <w:pStyle w:val="5"/>
        <w:shd w:val="clear" w:color="auto" w:fill="FFFFFF"/>
        <w:spacing w:before="0" w:beforeAutospacing="0" w:after="0" w:afterAutospacing="0"/>
        <w:ind w:firstLine="600" w:firstLineChars="250"/>
        <w:rPr>
          <w:rFonts w:ascii="仿宋" w:hAnsi="仿宋" w:eastAsia="仿宋"/>
        </w:rPr>
      </w:pPr>
      <w:r>
        <w:rPr>
          <w:rFonts w:hint="eastAsia" w:ascii="仿宋" w:hAnsi="仿宋" w:eastAsia="仿宋"/>
        </w:rPr>
        <w:t>1.数量指标：完成县域黑臭水治理；完成一污提标改质，全年处理生活污水700万吨以上；新建县城第三、第四污水处理厂；</w:t>
      </w:r>
      <w:r>
        <w:rPr>
          <w:rFonts w:hint="eastAsia" w:ascii="仿宋" w:hAnsi="仿宋" w:eastAsia="仿宋" w:cs="仿宋"/>
        </w:rPr>
        <w:t>完成华阁镇河口集镇污水处理站建设，处理规模200吨/天，配套污水管网约4000米；完成茅草街镇八百弓集镇污水处理站建设，处理规模200吨/天，配套污水管网约4000米；完成乡镇污水管网补短板工程，新建管网23公里；完成第三污、第四污污水处理厂建设土地报批及相关配套管网工程。</w:t>
      </w:r>
    </w:p>
    <w:p>
      <w:pPr>
        <w:pStyle w:val="5"/>
        <w:shd w:val="clear" w:color="auto" w:fill="FFFFFF"/>
        <w:spacing w:before="0" w:beforeAutospacing="0" w:after="0" w:afterAutospacing="0"/>
        <w:ind w:firstLine="600" w:firstLineChars="250"/>
        <w:rPr>
          <w:rFonts w:hint="eastAsia" w:ascii="仿宋" w:hAnsi="仿宋" w:eastAsia="仿宋"/>
        </w:rPr>
      </w:pPr>
      <w:r>
        <w:rPr>
          <w:rFonts w:hint="eastAsia" w:ascii="仿宋" w:hAnsi="仿宋" w:eastAsia="仿宋"/>
        </w:rPr>
        <w:t>2.质量指标：一污提标改造后，出水水质达到一级A类；</w:t>
      </w:r>
    </w:p>
    <w:p>
      <w:pPr>
        <w:pStyle w:val="5"/>
        <w:shd w:val="clear" w:color="auto" w:fill="FFFFFF"/>
        <w:spacing w:before="0" w:beforeAutospacing="0" w:after="0" w:afterAutospacing="0"/>
        <w:ind w:firstLine="600" w:firstLineChars="250"/>
        <w:rPr>
          <w:rFonts w:hint="eastAsia" w:ascii="仿宋" w:hAnsi="仿宋" w:eastAsia="仿宋"/>
        </w:rPr>
      </w:pPr>
      <w:r>
        <w:rPr>
          <w:rFonts w:hint="eastAsia" w:ascii="仿宋" w:hAnsi="仿宋" w:eastAsia="仿宋"/>
        </w:rPr>
        <w:t>3.成本指标：污水管理经费控制在预算资金55万元以内；</w:t>
      </w:r>
    </w:p>
    <w:p>
      <w:pPr>
        <w:pStyle w:val="5"/>
        <w:shd w:val="clear" w:color="auto" w:fill="FFFFFF"/>
        <w:spacing w:before="0" w:beforeAutospacing="0" w:after="0" w:afterAutospacing="0"/>
        <w:ind w:firstLine="600" w:firstLineChars="250"/>
        <w:rPr>
          <w:rFonts w:ascii="仿宋" w:hAnsi="仿宋" w:eastAsia="仿宋"/>
        </w:rPr>
      </w:pPr>
      <w:r>
        <w:rPr>
          <w:rFonts w:hint="eastAsia" w:ascii="仿宋" w:hAnsi="仿宋" w:eastAsia="仿宋"/>
        </w:rPr>
        <w:t>3.环境效益指标：消减cod、氨氮、总磷、总氮等污质，改善水质，提高环境质量。</w:t>
      </w:r>
    </w:p>
    <w:p>
      <w:pPr>
        <w:pStyle w:val="5"/>
        <w:shd w:val="clear" w:color="auto" w:fill="FFFFFF"/>
        <w:spacing w:before="0" w:beforeAutospacing="0" w:after="0" w:afterAutospacing="0"/>
        <w:ind w:firstLine="241" w:firstLineChars="100"/>
        <w:rPr>
          <w:rFonts w:ascii="仿宋" w:hAnsi="仿宋" w:eastAsia="仿宋"/>
        </w:rPr>
      </w:pPr>
      <w:r>
        <w:rPr>
          <w:rFonts w:hint="eastAsia" w:ascii="仿宋" w:hAnsi="仿宋" w:eastAsia="仿宋"/>
          <w:b/>
        </w:rPr>
        <w:t>（四）项目绩效目标完成情况。</w:t>
      </w:r>
      <w:r>
        <w:rPr>
          <w:rFonts w:hint="eastAsia" w:ascii="仿宋" w:hAnsi="仿宋" w:eastAsia="仿宋"/>
        </w:rPr>
        <w:t>2020年南县住房和城乡建设局在县委、县政府的正确领导下，基本完成了年初设定的绩效目标：</w:t>
      </w:r>
    </w:p>
    <w:p>
      <w:pPr>
        <w:pStyle w:val="5"/>
        <w:shd w:val="clear" w:color="auto" w:fill="FFFFFF"/>
        <w:spacing w:before="0" w:beforeAutospacing="0" w:after="0" w:afterAutospacing="0"/>
        <w:ind w:firstLine="482"/>
        <w:rPr>
          <w:rFonts w:ascii="仿宋" w:hAnsi="仿宋" w:eastAsia="仿宋"/>
        </w:rPr>
      </w:pPr>
      <w:r>
        <w:rPr>
          <w:rFonts w:hint="eastAsia" w:ascii="仿宋" w:hAnsi="仿宋" w:eastAsia="仿宋"/>
        </w:rPr>
        <w:t>1.黑臭水体治理。完成县域黑臭水治理，规范了排污制度。全年对城南双洋渠、渔尾渠黑臭水体进行治理，实施截污，增加提升泵两台，提升引流至县城第二污水处理厂进行处理。提高了污水处理率，消减了cod、氨氮、总磷、总氮等污质。</w:t>
      </w:r>
    </w:p>
    <w:p>
      <w:pPr>
        <w:pStyle w:val="5"/>
        <w:shd w:val="clear" w:color="auto" w:fill="FFFFFF"/>
        <w:spacing w:before="0" w:beforeAutospacing="0" w:after="0" w:afterAutospacing="0"/>
        <w:rPr>
          <w:rFonts w:ascii="仿宋" w:hAnsi="仿宋" w:eastAsia="仿宋" w:cs="仿宋"/>
        </w:rPr>
      </w:pPr>
      <w:r>
        <w:rPr>
          <w:rFonts w:hint="eastAsia" w:ascii="仿宋" w:hAnsi="仿宋" w:eastAsia="仿宋"/>
        </w:rPr>
        <w:t xml:space="preserve">    2.城镇污水处理厂及配套设施建设。完成了县城第一污水处理厂提质改造，已通水调试，出水水质达到一级A类；新建县城第三、第四污水处理厂，分别完成主体工程的80%、40%；</w:t>
      </w:r>
      <w:r>
        <w:rPr>
          <w:rFonts w:hint="eastAsia" w:ascii="仿宋" w:hAnsi="仿宋" w:eastAsia="仿宋" w:cs="仿宋"/>
        </w:rPr>
        <w:t>完成华阁镇河口集镇污水处理站建设，处理规模200吨/天，配套污水管网约4000米；完成茅草街镇八百弓集镇污水处理站建设，处理规模200吨/天，配套污水管网约4000米；完成了乡镇污水管网补短板工程，新建管网23公里。</w:t>
      </w:r>
    </w:p>
    <w:p>
      <w:pPr>
        <w:pStyle w:val="5"/>
        <w:shd w:val="clear" w:color="auto" w:fill="FFFFFF"/>
        <w:spacing w:before="0" w:beforeAutospacing="0" w:after="0" w:afterAutospacing="0"/>
        <w:ind w:firstLine="480" w:firstLineChars="200"/>
        <w:rPr>
          <w:rFonts w:ascii="仿宋" w:hAnsi="仿宋" w:eastAsia="仿宋" w:cs="仿宋"/>
        </w:rPr>
      </w:pPr>
      <w:r>
        <w:rPr>
          <w:rFonts w:hint="eastAsia" w:ascii="仿宋" w:hAnsi="仿宋" w:eastAsia="仿宋" w:cs="仿宋"/>
        </w:rPr>
        <w:t>3.茅草街污水处理厂、第一污水处理厂、第二污水处理厂、其他乡镇污水处理等四个项目；完成污水处理厂水质检测提标及设施设备运营监管，完成年度污水处理核算。</w:t>
      </w:r>
    </w:p>
    <w:p>
      <w:pPr>
        <w:pStyle w:val="5"/>
        <w:shd w:val="clear" w:color="auto" w:fill="FFFFFF"/>
        <w:spacing w:before="0" w:beforeAutospacing="0" w:after="0" w:afterAutospacing="0"/>
        <w:rPr>
          <w:rFonts w:ascii="仿宋" w:hAnsi="仿宋" w:eastAsia="仿宋" w:cs="仿宋"/>
        </w:rPr>
      </w:pPr>
      <w:r>
        <w:rPr>
          <w:rFonts w:hint="eastAsia" w:ascii="仿宋" w:hAnsi="仿宋" w:eastAsia="仿宋" w:cs="仿宋"/>
        </w:rPr>
        <w:t xml:space="preserve">    4.水体专项。污水处理厂建设管理及城市配套管网，2020年完成了一污北侧群众补偿，一污老旧设备更换；完成乡镇污水管网补短板工程。</w:t>
      </w:r>
    </w:p>
    <w:p>
      <w:pPr>
        <w:pStyle w:val="5"/>
        <w:shd w:val="clear" w:color="auto" w:fill="FFFFFF"/>
        <w:spacing w:before="0" w:beforeAutospacing="0" w:after="0" w:afterAutospacing="0"/>
        <w:rPr>
          <w:rFonts w:ascii="仿宋" w:hAnsi="仿宋" w:eastAsia="仿宋"/>
        </w:rPr>
      </w:pPr>
      <w:r>
        <w:rPr>
          <w:rFonts w:hint="eastAsia" w:ascii="仿宋" w:hAnsi="仿宋" w:eastAsia="仿宋" w:cs="仿宋"/>
        </w:rPr>
        <w:t xml:space="preserve">    5.2020年大通湖流域益阳市南县污水处理厂及配套管网项目。完成了第三污、第四污污水处理厂建设土地报批及相关配套管网工程。</w:t>
      </w:r>
    </w:p>
    <w:p>
      <w:pPr>
        <w:ind w:firstLine="482" w:firstLineChars="150"/>
        <w:rPr>
          <w:rFonts w:ascii="仿宋" w:hAnsi="仿宋" w:eastAsia="仿宋"/>
          <w:b/>
          <w:sz w:val="32"/>
          <w:szCs w:val="32"/>
        </w:rPr>
      </w:pPr>
      <w:r>
        <w:rPr>
          <w:rFonts w:hint="eastAsia" w:ascii="仿宋" w:hAnsi="仿宋" w:eastAsia="仿宋"/>
          <w:b/>
          <w:sz w:val="32"/>
          <w:szCs w:val="32"/>
        </w:rPr>
        <w:t>二、项目资金使用及管理情况</w:t>
      </w:r>
    </w:p>
    <w:p>
      <w:pPr>
        <w:ind w:firstLine="480" w:firstLineChars="200"/>
        <w:rPr>
          <w:rFonts w:ascii="仿宋" w:hAnsi="仿宋" w:eastAsia="仿宋"/>
          <w:sz w:val="24"/>
          <w:szCs w:val="24"/>
        </w:rPr>
      </w:pPr>
      <w:r>
        <w:rPr>
          <w:rFonts w:hint="eastAsia" w:ascii="仿宋" w:hAnsi="仿宋" w:eastAsia="仿宋"/>
          <w:sz w:val="24"/>
          <w:szCs w:val="24"/>
        </w:rPr>
        <w:t>（一）项目资金到位情况。“污水管理经费”专项资金预算55万元，由县本级财政拨款，拨款金额55万元，资金到位率100.00%。</w:t>
      </w:r>
    </w:p>
    <w:p>
      <w:pPr>
        <w:ind w:firstLine="360" w:firstLineChars="150"/>
        <w:rPr>
          <w:rFonts w:ascii="仿宋" w:hAnsi="仿宋" w:eastAsia="仿宋"/>
          <w:sz w:val="24"/>
          <w:szCs w:val="24"/>
        </w:rPr>
      </w:pPr>
      <w:r>
        <w:rPr>
          <w:rFonts w:hint="eastAsia" w:ascii="仿宋" w:hAnsi="仿宋" w:eastAsia="仿宋"/>
          <w:color w:val="000000" w:themeColor="text1"/>
          <w:sz w:val="24"/>
          <w:szCs w:val="24"/>
        </w:rPr>
        <w:t>（二）项目资金</w:t>
      </w:r>
      <w:r>
        <w:rPr>
          <w:rFonts w:hint="eastAsia" w:ascii="仿宋" w:hAnsi="仿宋" w:eastAsia="仿宋"/>
          <w:sz w:val="24"/>
          <w:szCs w:val="24"/>
        </w:rPr>
        <w:t>使用</w:t>
      </w:r>
      <w:r>
        <w:rPr>
          <w:rFonts w:hint="eastAsia" w:ascii="仿宋" w:hAnsi="仿宋" w:eastAsia="仿宋"/>
          <w:color w:val="000000" w:themeColor="text1"/>
          <w:sz w:val="24"/>
          <w:szCs w:val="24"/>
        </w:rPr>
        <w:t>情况。“</w:t>
      </w:r>
      <w:r>
        <w:rPr>
          <w:rFonts w:hint="eastAsia" w:ascii="仿宋" w:hAnsi="仿宋" w:eastAsia="仿宋"/>
          <w:sz w:val="24"/>
          <w:szCs w:val="24"/>
        </w:rPr>
        <w:t>污水管理经费</w:t>
      </w:r>
      <w:r>
        <w:rPr>
          <w:rFonts w:hint="eastAsia" w:ascii="仿宋" w:hAnsi="仿宋" w:eastAsia="仿宋"/>
          <w:color w:val="000000" w:themeColor="text1"/>
          <w:sz w:val="24"/>
          <w:szCs w:val="24"/>
        </w:rPr>
        <w:t>”专项资金</w:t>
      </w:r>
      <w:r>
        <w:rPr>
          <w:rFonts w:hint="eastAsia" w:ascii="仿宋" w:hAnsi="仿宋" w:eastAsia="仿宋"/>
          <w:sz w:val="24"/>
          <w:szCs w:val="24"/>
        </w:rPr>
        <w:t>预算安排55万元，实际使用资金55万元，结余资金0万元，资金使用率为100%。其中：自来水公司水质提标支出20万元，占该专项资金使用总额的36.36%；德昌公园水质提标8万元，占该专项资金使用总额的14.55%；乡镇污水管理站协调经费18万元，占该专项资金使用总额的32.73%。</w:t>
      </w:r>
    </w:p>
    <w:p>
      <w:pPr>
        <w:rPr>
          <w:rFonts w:ascii="仿宋" w:hAnsi="仿宋" w:eastAsia="仿宋"/>
          <w:sz w:val="24"/>
          <w:szCs w:val="24"/>
        </w:rPr>
      </w:pPr>
      <w:r>
        <w:rPr>
          <w:rFonts w:hint="eastAsia" w:ascii="仿宋" w:hAnsi="仿宋" w:eastAsia="仿宋"/>
          <w:sz w:val="24"/>
          <w:szCs w:val="24"/>
        </w:rPr>
        <w:t>具体开支明细如下：单位元</w:t>
      </w:r>
    </w:p>
    <w:tbl>
      <w:tblPr>
        <w:tblStyle w:val="6"/>
        <w:tblW w:w="8237" w:type="dxa"/>
        <w:tblInd w:w="0" w:type="dxa"/>
        <w:tblLayout w:type="fixed"/>
        <w:tblCellMar>
          <w:top w:w="0" w:type="dxa"/>
          <w:left w:w="0" w:type="dxa"/>
          <w:bottom w:w="0" w:type="dxa"/>
          <w:right w:w="0" w:type="dxa"/>
        </w:tblCellMar>
      </w:tblPr>
      <w:tblGrid>
        <w:gridCol w:w="742"/>
        <w:gridCol w:w="2959"/>
        <w:gridCol w:w="2126"/>
        <w:gridCol w:w="2410"/>
      </w:tblGrid>
      <w:tr>
        <w:tblPrEx>
          <w:tblCellMar>
            <w:top w:w="0" w:type="dxa"/>
            <w:left w:w="0" w:type="dxa"/>
            <w:bottom w:w="0" w:type="dxa"/>
            <w:right w:w="0" w:type="dxa"/>
          </w:tblCellMar>
        </w:tblPrEx>
        <w:trPr>
          <w:trHeight w:val="27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序号</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支出项目</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实际使用金额</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占实际使用总额比</w:t>
            </w:r>
          </w:p>
        </w:tc>
      </w:tr>
      <w:tr>
        <w:tblPrEx>
          <w:tblCellMar>
            <w:top w:w="0" w:type="dxa"/>
            <w:left w:w="0" w:type="dxa"/>
            <w:bottom w:w="0" w:type="dxa"/>
            <w:right w:w="0" w:type="dxa"/>
          </w:tblCellMar>
        </w:tblPrEx>
        <w:trPr>
          <w:trHeight w:val="27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1</w:t>
            </w:r>
          </w:p>
        </w:tc>
        <w:tc>
          <w:tcPr>
            <w:tcW w:w="2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sz w:val="24"/>
                <w:szCs w:val="24"/>
              </w:rPr>
              <w:t>自来水公司水质提标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200,000.00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36.36</w:t>
            </w:r>
            <w:r>
              <w:rPr>
                <w:rFonts w:ascii="仿宋" w:hAnsi="仿宋" w:eastAsia="仿宋"/>
                <w:sz w:val="24"/>
                <w:szCs w:val="24"/>
              </w:rPr>
              <w:t>%</w:t>
            </w:r>
          </w:p>
        </w:tc>
      </w:tr>
      <w:tr>
        <w:tblPrEx>
          <w:tblCellMar>
            <w:top w:w="0" w:type="dxa"/>
            <w:left w:w="0" w:type="dxa"/>
            <w:bottom w:w="0" w:type="dxa"/>
            <w:right w:w="0" w:type="dxa"/>
          </w:tblCellMar>
        </w:tblPrEx>
        <w:trPr>
          <w:trHeight w:val="27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2</w:t>
            </w:r>
          </w:p>
        </w:tc>
        <w:tc>
          <w:tcPr>
            <w:tcW w:w="2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sz w:val="24"/>
                <w:szCs w:val="24"/>
              </w:rPr>
              <w:t>德昌公园水质提标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80,000.00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14.55</w:t>
            </w:r>
            <w:r>
              <w:rPr>
                <w:rFonts w:ascii="仿宋" w:hAnsi="仿宋" w:eastAsia="仿宋"/>
                <w:sz w:val="24"/>
                <w:szCs w:val="24"/>
              </w:rPr>
              <w:t>%</w:t>
            </w:r>
          </w:p>
        </w:tc>
      </w:tr>
      <w:tr>
        <w:tblPrEx>
          <w:tblCellMar>
            <w:top w:w="0" w:type="dxa"/>
            <w:left w:w="0" w:type="dxa"/>
            <w:bottom w:w="0" w:type="dxa"/>
            <w:right w:w="0" w:type="dxa"/>
          </w:tblCellMar>
        </w:tblPrEx>
        <w:trPr>
          <w:trHeight w:val="27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3</w:t>
            </w:r>
          </w:p>
        </w:tc>
        <w:tc>
          <w:tcPr>
            <w:tcW w:w="2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sz w:val="24"/>
                <w:szCs w:val="24"/>
              </w:rPr>
              <w:t>麻河口污水管理站协调经费</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50,000.00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9.09</w:t>
            </w:r>
            <w:r>
              <w:rPr>
                <w:rFonts w:ascii="仿宋" w:hAnsi="仿宋" w:eastAsia="仿宋"/>
                <w:sz w:val="24"/>
                <w:szCs w:val="24"/>
              </w:rPr>
              <w:t>%</w:t>
            </w:r>
          </w:p>
        </w:tc>
      </w:tr>
      <w:tr>
        <w:tblPrEx>
          <w:tblCellMar>
            <w:top w:w="0" w:type="dxa"/>
            <w:left w:w="0" w:type="dxa"/>
            <w:bottom w:w="0" w:type="dxa"/>
            <w:right w:w="0" w:type="dxa"/>
          </w:tblCellMar>
        </w:tblPrEx>
        <w:trPr>
          <w:trHeight w:val="27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4</w:t>
            </w:r>
          </w:p>
        </w:tc>
        <w:tc>
          <w:tcPr>
            <w:tcW w:w="2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sz w:val="24"/>
                <w:szCs w:val="24"/>
              </w:rPr>
              <w:t>青树嘴污水管理站协调经费</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50,000.00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9.09</w:t>
            </w:r>
            <w:r>
              <w:rPr>
                <w:rFonts w:ascii="仿宋" w:hAnsi="仿宋" w:eastAsia="仿宋"/>
                <w:sz w:val="24"/>
                <w:szCs w:val="24"/>
              </w:rPr>
              <w:t>%</w:t>
            </w:r>
          </w:p>
        </w:tc>
      </w:tr>
      <w:tr>
        <w:tblPrEx>
          <w:tblCellMar>
            <w:top w:w="0" w:type="dxa"/>
            <w:left w:w="0" w:type="dxa"/>
            <w:bottom w:w="0" w:type="dxa"/>
            <w:right w:w="0" w:type="dxa"/>
          </w:tblCellMar>
        </w:tblPrEx>
        <w:trPr>
          <w:trHeight w:val="27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5</w:t>
            </w:r>
          </w:p>
        </w:tc>
        <w:tc>
          <w:tcPr>
            <w:tcW w:w="2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sz w:val="24"/>
                <w:szCs w:val="24"/>
              </w:rPr>
              <w:t>华阁污水管理站协调经费</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50,000.00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9.09</w:t>
            </w:r>
            <w:r>
              <w:rPr>
                <w:rFonts w:ascii="仿宋" w:hAnsi="仿宋" w:eastAsia="仿宋"/>
                <w:sz w:val="24"/>
                <w:szCs w:val="24"/>
              </w:rPr>
              <w:t>%</w:t>
            </w:r>
          </w:p>
        </w:tc>
      </w:tr>
      <w:tr>
        <w:tblPrEx>
          <w:tblCellMar>
            <w:top w:w="0" w:type="dxa"/>
            <w:left w:w="0" w:type="dxa"/>
            <w:bottom w:w="0" w:type="dxa"/>
            <w:right w:w="0" w:type="dxa"/>
          </w:tblCellMar>
        </w:tblPrEx>
        <w:trPr>
          <w:trHeight w:val="27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6</w:t>
            </w:r>
          </w:p>
        </w:tc>
        <w:tc>
          <w:tcPr>
            <w:tcW w:w="2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sz w:val="24"/>
                <w:szCs w:val="24"/>
              </w:rPr>
              <w:t>浪拔湖污水管理站协调经费</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30,000.00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5.45</w:t>
            </w:r>
            <w:r>
              <w:rPr>
                <w:rFonts w:ascii="仿宋" w:hAnsi="仿宋" w:eastAsia="仿宋"/>
                <w:sz w:val="24"/>
                <w:szCs w:val="24"/>
              </w:rPr>
              <w:t>%</w:t>
            </w:r>
          </w:p>
        </w:tc>
      </w:tr>
      <w:tr>
        <w:tblPrEx>
          <w:tblCellMar>
            <w:top w:w="0" w:type="dxa"/>
            <w:left w:w="0" w:type="dxa"/>
            <w:bottom w:w="0" w:type="dxa"/>
            <w:right w:w="0" w:type="dxa"/>
          </w:tblCellMar>
        </w:tblPrEx>
        <w:trPr>
          <w:trHeight w:val="27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7</w:t>
            </w:r>
          </w:p>
        </w:tc>
        <w:tc>
          <w:tcPr>
            <w:tcW w:w="2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cs="宋体"/>
                <w:color w:val="000000"/>
                <w:sz w:val="24"/>
                <w:szCs w:val="24"/>
              </w:rPr>
              <w:t>购置电脑</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24,000.00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4.36</w:t>
            </w:r>
            <w:r>
              <w:rPr>
                <w:rFonts w:ascii="仿宋" w:hAnsi="仿宋" w:eastAsia="仿宋"/>
                <w:sz w:val="24"/>
                <w:szCs w:val="24"/>
              </w:rPr>
              <w:t>%</w:t>
            </w:r>
          </w:p>
        </w:tc>
      </w:tr>
      <w:tr>
        <w:tblPrEx>
          <w:tblCellMar>
            <w:top w:w="0" w:type="dxa"/>
            <w:left w:w="0" w:type="dxa"/>
            <w:bottom w:w="0" w:type="dxa"/>
            <w:right w:w="0" w:type="dxa"/>
          </w:tblCellMar>
        </w:tblPrEx>
        <w:trPr>
          <w:trHeight w:val="27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 w:val="24"/>
                <w:szCs w:val="24"/>
              </w:rPr>
            </w:pPr>
            <w:r>
              <w:rPr>
                <w:rFonts w:hint="eastAsia" w:ascii="仿宋" w:hAnsi="仿宋" w:eastAsia="仿宋" w:cs="宋体"/>
                <w:color w:val="000000"/>
                <w:sz w:val="24"/>
                <w:szCs w:val="24"/>
              </w:rPr>
              <w:t>8</w:t>
            </w:r>
          </w:p>
        </w:tc>
        <w:tc>
          <w:tcPr>
            <w:tcW w:w="2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报刊费</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5,712.00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1.04</w:t>
            </w:r>
            <w:r>
              <w:rPr>
                <w:rFonts w:ascii="仿宋" w:hAnsi="仿宋" w:eastAsia="仿宋"/>
                <w:sz w:val="24"/>
                <w:szCs w:val="24"/>
              </w:rPr>
              <w:t>%</w:t>
            </w:r>
          </w:p>
        </w:tc>
      </w:tr>
      <w:tr>
        <w:tblPrEx>
          <w:tblCellMar>
            <w:top w:w="0" w:type="dxa"/>
            <w:left w:w="0" w:type="dxa"/>
            <w:bottom w:w="0" w:type="dxa"/>
            <w:right w:w="0" w:type="dxa"/>
          </w:tblCellMar>
        </w:tblPrEx>
        <w:trPr>
          <w:trHeight w:val="27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 w:val="24"/>
                <w:szCs w:val="24"/>
              </w:rPr>
            </w:pPr>
            <w:r>
              <w:rPr>
                <w:rFonts w:hint="eastAsia" w:ascii="仿宋" w:hAnsi="仿宋" w:eastAsia="仿宋" w:cs="宋体"/>
                <w:color w:val="000000"/>
                <w:sz w:val="24"/>
                <w:szCs w:val="24"/>
              </w:rPr>
              <w:t>9</w:t>
            </w:r>
          </w:p>
        </w:tc>
        <w:tc>
          <w:tcPr>
            <w:tcW w:w="2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污水管理资料费</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18,715.00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3.40</w:t>
            </w:r>
            <w:r>
              <w:rPr>
                <w:rFonts w:ascii="仿宋" w:hAnsi="仿宋" w:eastAsia="仿宋"/>
                <w:sz w:val="24"/>
                <w:szCs w:val="24"/>
              </w:rPr>
              <w:t>%</w:t>
            </w:r>
          </w:p>
        </w:tc>
      </w:tr>
      <w:tr>
        <w:tblPrEx>
          <w:tblCellMar>
            <w:top w:w="0" w:type="dxa"/>
            <w:left w:w="0" w:type="dxa"/>
            <w:bottom w:w="0" w:type="dxa"/>
            <w:right w:w="0" w:type="dxa"/>
          </w:tblCellMar>
        </w:tblPrEx>
        <w:trPr>
          <w:trHeight w:val="27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 w:val="24"/>
                <w:szCs w:val="24"/>
              </w:rPr>
            </w:pPr>
            <w:r>
              <w:rPr>
                <w:rFonts w:hint="eastAsia" w:ascii="仿宋" w:hAnsi="仿宋" w:eastAsia="仿宋" w:cs="宋体"/>
                <w:color w:val="000000"/>
                <w:sz w:val="24"/>
                <w:szCs w:val="24"/>
              </w:rPr>
              <w:t>10</w:t>
            </w:r>
          </w:p>
        </w:tc>
        <w:tc>
          <w:tcPr>
            <w:tcW w:w="2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下乡差旅费</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31,718.00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5.77%</w:t>
            </w:r>
          </w:p>
        </w:tc>
      </w:tr>
      <w:tr>
        <w:tblPrEx>
          <w:tblCellMar>
            <w:top w:w="0" w:type="dxa"/>
            <w:left w:w="0" w:type="dxa"/>
            <w:bottom w:w="0" w:type="dxa"/>
            <w:right w:w="0" w:type="dxa"/>
          </w:tblCellMar>
        </w:tblPrEx>
        <w:trPr>
          <w:trHeight w:val="27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 w:val="24"/>
                <w:szCs w:val="24"/>
              </w:rPr>
            </w:pPr>
            <w:r>
              <w:rPr>
                <w:rFonts w:hint="eastAsia" w:ascii="仿宋" w:hAnsi="仿宋" w:eastAsia="仿宋" w:cs="宋体"/>
                <w:color w:val="000000"/>
                <w:sz w:val="24"/>
                <w:szCs w:val="24"/>
              </w:rPr>
              <w:t>11</w:t>
            </w:r>
          </w:p>
        </w:tc>
        <w:tc>
          <w:tcPr>
            <w:tcW w:w="2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接待费</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7,495.00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1.36</w:t>
            </w:r>
            <w:r>
              <w:rPr>
                <w:rFonts w:ascii="仿宋" w:hAnsi="仿宋" w:eastAsia="仿宋"/>
                <w:sz w:val="24"/>
                <w:szCs w:val="24"/>
              </w:rPr>
              <w:t>%</w:t>
            </w:r>
          </w:p>
        </w:tc>
      </w:tr>
      <w:tr>
        <w:tblPrEx>
          <w:tblCellMar>
            <w:top w:w="0" w:type="dxa"/>
            <w:left w:w="0" w:type="dxa"/>
            <w:bottom w:w="0" w:type="dxa"/>
            <w:right w:w="0" w:type="dxa"/>
          </w:tblCellMar>
        </w:tblPrEx>
        <w:trPr>
          <w:trHeight w:val="27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 w:val="24"/>
                <w:szCs w:val="24"/>
              </w:rPr>
            </w:pPr>
            <w:r>
              <w:rPr>
                <w:rFonts w:hint="eastAsia" w:ascii="仿宋" w:hAnsi="仿宋" w:eastAsia="仿宋" w:cs="宋体"/>
                <w:color w:val="000000"/>
                <w:sz w:val="24"/>
                <w:szCs w:val="24"/>
              </w:rPr>
              <w:t>12</w:t>
            </w:r>
          </w:p>
        </w:tc>
        <w:tc>
          <w:tcPr>
            <w:tcW w:w="2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购置望远镜</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1,199.00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0.22%</w:t>
            </w:r>
          </w:p>
        </w:tc>
      </w:tr>
      <w:tr>
        <w:tblPrEx>
          <w:tblCellMar>
            <w:top w:w="0" w:type="dxa"/>
            <w:left w:w="0" w:type="dxa"/>
            <w:bottom w:w="0" w:type="dxa"/>
            <w:right w:w="0" w:type="dxa"/>
          </w:tblCellMar>
        </w:tblPrEx>
        <w:trPr>
          <w:trHeight w:val="27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 w:val="24"/>
                <w:szCs w:val="24"/>
              </w:rPr>
            </w:pPr>
            <w:r>
              <w:rPr>
                <w:rFonts w:hint="eastAsia" w:ascii="仿宋" w:hAnsi="仿宋" w:eastAsia="仿宋" w:cs="宋体"/>
                <w:color w:val="000000"/>
                <w:sz w:val="24"/>
                <w:szCs w:val="24"/>
              </w:rPr>
              <w:t>13</w:t>
            </w:r>
          </w:p>
        </w:tc>
        <w:tc>
          <w:tcPr>
            <w:tcW w:w="2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办公费</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1,161.00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0.21%</w:t>
            </w:r>
          </w:p>
        </w:tc>
      </w:tr>
      <w:tr>
        <w:tblPrEx>
          <w:tblCellMar>
            <w:top w:w="0" w:type="dxa"/>
            <w:left w:w="0" w:type="dxa"/>
            <w:bottom w:w="0" w:type="dxa"/>
            <w:right w:w="0" w:type="dxa"/>
          </w:tblCellMar>
        </w:tblPrEx>
        <w:trPr>
          <w:trHeight w:val="27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 w:val="24"/>
                <w:szCs w:val="24"/>
              </w:rPr>
            </w:pPr>
          </w:p>
        </w:tc>
        <w:tc>
          <w:tcPr>
            <w:tcW w:w="2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合计</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ascii="仿宋" w:hAnsi="仿宋" w:eastAsia="仿宋"/>
                <w:sz w:val="24"/>
                <w:szCs w:val="24"/>
              </w:rPr>
              <w:fldChar w:fldCharType="begin"/>
            </w:r>
            <w:r>
              <w:rPr>
                <w:rFonts w:ascii="仿宋" w:hAnsi="仿宋" w:eastAsia="仿宋"/>
                <w:sz w:val="24"/>
                <w:szCs w:val="24"/>
              </w:rPr>
              <w:instrText xml:space="preserve"> =SUM(ABOVE) </w:instrText>
            </w:r>
            <w:r>
              <w:rPr>
                <w:rFonts w:ascii="仿宋" w:hAnsi="仿宋" w:eastAsia="仿宋"/>
                <w:sz w:val="24"/>
                <w:szCs w:val="24"/>
              </w:rPr>
              <w:fldChar w:fldCharType="separate"/>
            </w:r>
            <w:r>
              <w:rPr>
                <w:rFonts w:ascii="仿宋" w:hAnsi="仿宋" w:eastAsia="仿宋"/>
                <w:sz w:val="24"/>
                <w:szCs w:val="24"/>
              </w:rPr>
              <w:t>550,000</w:t>
            </w:r>
            <w:r>
              <w:rPr>
                <w:rFonts w:ascii="仿宋" w:hAnsi="仿宋" w:eastAsia="仿宋"/>
                <w:sz w:val="24"/>
                <w:szCs w:val="24"/>
              </w:rPr>
              <w:fldChar w:fldCharType="end"/>
            </w:r>
            <w:r>
              <w:rPr>
                <w:rFonts w:hint="eastAsia" w:ascii="仿宋" w:hAnsi="仿宋" w:eastAsia="仿宋"/>
                <w:sz w:val="24"/>
                <w:szCs w:val="24"/>
              </w:rPr>
              <w:t>.00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ascii="仿宋" w:hAnsi="仿宋" w:eastAsia="仿宋"/>
                <w:sz w:val="24"/>
                <w:szCs w:val="24"/>
              </w:rPr>
              <w:fldChar w:fldCharType="begin"/>
            </w:r>
            <w:r>
              <w:rPr>
                <w:rFonts w:ascii="仿宋" w:hAnsi="仿宋" w:eastAsia="仿宋"/>
                <w:sz w:val="24"/>
                <w:szCs w:val="24"/>
              </w:rPr>
              <w:instrText xml:space="preserve"> =SUM(ABOVE)*100 \# "0.00%" </w:instrText>
            </w:r>
            <w:r>
              <w:rPr>
                <w:rFonts w:ascii="仿宋" w:hAnsi="仿宋" w:eastAsia="仿宋"/>
                <w:sz w:val="24"/>
                <w:szCs w:val="24"/>
              </w:rPr>
              <w:fldChar w:fldCharType="separate"/>
            </w:r>
            <w:r>
              <w:rPr>
                <w:rFonts w:ascii="仿宋" w:hAnsi="仿宋" w:eastAsia="仿宋"/>
                <w:sz w:val="24"/>
                <w:szCs w:val="24"/>
              </w:rPr>
              <w:t>100%</w:t>
            </w:r>
            <w:r>
              <w:rPr>
                <w:rFonts w:ascii="仿宋" w:hAnsi="仿宋" w:eastAsia="仿宋"/>
                <w:sz w:val="24"/>
                <w:szCs w:val="24"/>
              </w:rPr>
              <w:fldChar w:fldCharType="end"/>
            </w:r>
          </w:p>
        </w:tc>
      </w:tr>
    </w:tbl>
    <w:p>
      <w:pPr>
        <w:rPr>
          <w:rFonts w:ascii="仿宋" w:hAnsi="仿宋" w:eastAsia="仿宋"/>
          <w:sz w:val="24"/>
          <w:szCs w:val="24"/>
        </w:rPr>
      </w:pPr>
      <w:r>
        <w:rPr>
          <w:rFonts w:hint="eastAsia" w:ascii="仿宋" w:hAnsi="仿宋" w:eastAsia="仿宋"/>
          <w:color w:val="000000" w:themeColor="text1"/>
          <w:sz w:val="24"/>
          <w:szCs w:val="24"/>
        </w:rPr>
        <w:t xml:space="preserve">  （三）项目资金管理情况。南县住房和城乡建设局在资金使用上严格遵守国家财经法规、有关专项资金管理规定和本单位财务管理制度。拨付下属机构的</w:t>
      </w:r>
      <w:r>
        <w:rPr>
          <w:rFonts w:hint="eastAsia" w:ascii="仿宋" w:hAnsi="仿宋" w:eastAsia="仿宋"/>
          <w:sz w:val="24"/>
          <w:szCs w:val="24"/>
        </w:rPr>
        <w:t>项目资金，先由下属机构提出用款申请报告，经过审核、审批后，县住建局再支付到下属机构账户。其他日常费用报销程序基本合规，资金管理基本到位。</w:t>
      </w:r>
    </w:p>
    <w:p>
      <w:pPr>
        <w:rPr>
          <w:rFonts w:ascii="仿宋" w:hAnsi="仿宋" w:eastAsia="仿宋"/>
          <w:color w:val="000000" w:themeColor="text1"/>
          <w:sz w:val="24"/>
          <w:szCs w:val="24"/>
        </w:rPr>
      </w:pPr>
    </w:p>
    <w:p>
      <w:pPr>
        <w:ind w:left="760"/>
        <w:rPr>
          <w:rFonts w:ascii="仿宋" w:hAnsi="仿宋" w:eastAsia="仿宋"/>
          <w:b/>
          <w:sz w:val="32"/>
          <w:szCs w:val="32"/>
        </w:rPr>
      </w:pPr>
      <w:r>
        <w:rPr>
          <w:rFonts w:hint="eastAsia" w:ascii="仿宋" w:hAnsi="仿宋" w:eastAsia="仿宋"/>
          <w:b/>
          <w:sz w:val="32"/>
          <w:szCs w:val="32"/>
        </w:rPr>
        <w:t>三、项目组织实施情况</w:t>
      </w:r>
    </w:p>
    <w:p>
      <w:pPr>
        <w:ind w:firstLine="480" w:firstLineChars="200"/>
        <w:rPr>
          <w:rFonts w:ascii="仿宋_GB2312" w:eastAsia="仿宋_GB2312"/>
          <w:sz w:val="32"/>
          <w:szCs w:val="32"/>
        </w:rPr>
      </w:pPr>
      <w:r>
        <w:rPr>
          <w:rFonts w:hint="eastAsia" w:ascii="仿宋" w:hAnsi="仿宋" w:eastAsia="仿宋"/>
          <w:sz w:val="24"/>
          <w:szCs w:val="24"/>
        </w:rPr>
        <w:t>（一）制度建设情况。为进一步规范财政资金管理，强化财政资金支出绩效理念，切实提高财政资金使用效益，南县住房和城乡建设局完善了《南县住房和城乡建设局机关管理制度》、《南县住房和城乡建设局财务管理制度》及《专项资金管理制度》等一系列资金内控管理制度。明确责任、完善报账流程、限定权限、规范财务管理工作。专项立项和预算资金申请、分配、使用，一律由局党组集体研究决定。对资金拨付、使用、验收实施全程监督，做到专款专用。</w:t>
      </w:r>
    </w:p>
    <w:p>
      <w:pPr>
        <w:ind w:firstLine="360" w:firstLineChars="150"/>
        <w:rPr>
          <w:rFonts w:ascii="Times New Roman" w:hAnsi="Times New Roman" w:eastAsia="仿宋" w:cs="Times New Roman"/>
          <w:sz w:val="32"/>
          <w:szCs w:val="32"/>
        </w:rPr>
      </w:pPr>
      <w:r>
        <w:rPr>
          <w:rFonts w:hint="eastAsia" w:ascii="仿宋" w:hAnsi="仿宋" w:eastAsia="仿宋"/>
          <w:sz w:val="24"/>
          <w:szCs w:val="24"/>
        </w:rPr>
        <w:t>（二）项目实施情况。一是加强组织领导，专项资金预算下达后，主要领导和分管领导高度重视，立即召开会议进行布置安排，制定工作计划，明确时限要求，落实责任分工，确保专项工作顺利进行；二是加强预算信息公开，南县住房和城乡建设局统一在政府网站公示了预决算信息，做到了公开透明，无暗箱操作，无监管盲区；三加强项目管理，在项目实施中，与承包方签订合同，明确双方权利义务；四是合理安排财政资金，增强行政成本意识，细化经费预算编制，严格控制专项支出，确保支出与预算有机衔接，提高预算执行力。</w:t>
      </w:r>
    </w:p>
    <w:p>
      <w:pPr>
        <w:ind w:firstLine="480"/>
        <w:rPr>
          <w:rFonts w:ascii="仿宋" w:hAnsi="仿宋" w:eastAsia="仿宋"/>
          <w:b/>
          <w:sz w:val="32"/>
          <w:szCs w:val="32"/>
        </w:rPr>
      </w:pPr>
      <w:r>
        <w:rPr>
          <w:rFonts w:hint="eastAsia" w:ascii="仿宋" w:hAnsi="仿宋" w:eastAsia="仿宋"/>
          <w:b/>
          <w:sz w:val="32"/>
          <w:szCs w:val="32"/>
        </w:rPr>
        <w:t>四、绩效评价工作情况</w:t>
      </w:r>
    </w:p>
    <w:p>
      <w:pPr>
        <w:ind w:firstLine="480"/>
        <w:rPr>
          <w:rFonts w:ascii="仿宋" w:hAnsi="仿宋" w:eastAsia="仿宋" w:cs="仿宋"/>
          <w:sz w:val="24"/>
          <w:szCs w:val="24"/>
        </w:rPr>
      </w:pPr>
      <w:r>
        <w:rPr>
          <w:rFonts w:hint="eastAsia" w:ascii="仿宋" w:hAnsi="仿宋" w:eastAsia="仿宋" w:cs="仿宋"/>
          <w:sz w:val="24"/>
          <w:szCs w:val="24"/>
        </w:rPr>
        <w:t>（一）绩效评价目的</w:t>
      </w:r>
    </w:p>
    <w:p>
      <w:pPr>
        <w:pStyle w:val="13"/>
        <w:wordWrap w:val="0"/>
        <w:spacing w:before="0" w:beforeAutospacing="0" w:after="0" w:afterAutospacing="0" w:line="560" w:lineRule="atLeast"/>
        <w:ind w:firstLine="560"/>
        <w:rPr>
          <w:rFonts w:ascii="仿宋" w:hAnsi="仿宋" w:eastAsia="仿宋" w:cs="仿宋"/>
          <w:color w:val="auto"/>
          <w:kern w:val="2"/>
          <w:sz w:val="24"/>
          <w:szCs w:val="24"/>
        </w:rPr>
      </w:pPr>
      <w:r>
        <w:rPr>
          <w:rFonts w:hint="eastAsia" w:ascii="仿宋" w:hAnsi="仿宋" w:eastAsia="仿宋" w:cs="仿宋"/>
          <w:color w:val="auto"/>
          <w:kern w:val="2"/>
          <w:sz w:val="24"/>
          <w:szCs w:val="24"/>
        </w:rPr>
        <w:t>通过绩效评价全面分析该项目资金使用、管理和项目实施情况，进一步规范</w:t>
      </w:r>
      <w:r>
        <w:rPr>
          <w:rFonts w:hint="eastAsia" w:ascii="仿宋" w:hAnsi="仿宋" w:eastAsia="仿宋"/>
          <w:sz w:val="24"/>
          <w:szCs w:val="24"/>
        </w:rPr>
        <w:t>南县住房和城乡建设局2020年度“污水处理工程管理专项资金”的</w:t>
      </w:r>
      <w:r>
        <w:rPr>
          <w:rFonts w:hint="eastAsia" w:ascii="仿宋" w:hAnsi="仿宋" w:eastAsia="仿宋" w:cs="仿宋"/>
          <w:color w:val="auto"/>
          <w:kern w:val="2"/>
          <w:sz w:val="24"/>
          <w:szCs w:val="24"/>
        </w:rPr>
        <w:t>使用和管理，强化财政资金支出绩效理念，切实提高财政资金使用效益。</w:t>
      </w:r>
    </w:p>
    <w:p>
      <w:pPr>
        <w:ind w:firstLine="480"/>
        <w:rPr>
          <w:rFonts w:ascii="仿宋" w:hAnsi="仿宋" w:eastAsia="仿宋"/>
          <w:sz w:val="24"/>
          <w:szCs w:val="24"/>
        </w:rPr>
      </w:pPr>
      <w:r>
        <w:rPr>
          <w:rFonts w:hint="eastAsia" w:ascii="仿宋" w:hAnsi="仿宋" w:eastAsia="仿宋"/>
          <w:sz w:val="24"/>
          <w:szCs w:val="24"/>
        </w:rPr>
        <w:t>（二）绩效评价工作过程。</w:t>
      </w:r>
    </w:p>
    <w:p>
      <w:pPr>
        <w:ind w:firstLine="480"/>
        <w:rPr>
          <w:rFonts w:ascii="仿宋" w:hAnsi="仿宋" w:eastAsia="仿宋"/>
          <w:sz w:val="24"/>
          <w:szCs w:val="24"/>
        </w:rPr>
      </w:pPr>
      <w:r>
        <w:rPr>
          <w:rFonts w:hint="eastAsia" w:ascii="仿宋" w:hAnsi="仿宋" w:eastAsia="仿宋"/>
          <w:sz w:val="24"/>
          <w:szCs w:val="24"/>
        </w:rPr>
        <w:t>根据南县财政局《关于对2020年度专项资金开展重点绩效评价工作的通知》(南财绩函[2021]10号)文件要求，我所按下列步骤开展了绩效评价工作：</w:t>
      </w:r>
    </w:p>
    <w:p>
      <w:pPr>
        <w:ind w:firstLine="480"/>
        <w:rPr>
          <w:rFonts w:ascii="仿宋" w:hAnsi="仿宋" w:eastAsia="仿宋"/>
          <w:sz w:val="24"/>
          <w:szCs w:val="24"/>
        </w:rPr>
      </w:pPr>
      <w:r>
        <w:rPr>
          <w:rFonts w:hint="eastAsia" w:ascii="仿宋" w:hAnsi="仿宋" w:eastAsia="仿宋"/>
          <w:sz w:val="24"/>
          <w:szCs w:val="24"/>
        </w:rPr>
        <w:t>1.前期准备。我所抽调专人成立了绩效评价工作组，明确了工作职责，制定了现场评价方案，设计了相关表格，联系了相关部门和单位，确定了实施时间。</w:t>
      </w:r>
    </w:p>
    <w:p>
      <w:pPr>
        <w:ind w:left="210" w:leftChars="100" w:firstLine="360" w:firstLineChars="150"/>
        <w:rPr>
          <w:rFonts w:ascii="仿宋" w:hAnsi="仿宋" w:eastAsia="仿宋"/>
          <w:sz w:val="24"/>
          <w:szCs w:val="24"/>
        </w:rPr>
      </w:pPr>
      <w:r>
        <w:rPr>
          <w:rFonts w:hint="eastAsia" w:ascii="仿宋" w:hAnsi="仿宋" w:eastAsia="仿宋"/>
          <w:sz w:val="24"/>
          <w:szCs w:val="24"/>
        </w:rPr>
        <w:t>2.实施情况。项目绩效评价实施步骤：（1）召开座谈会。组织项目单位管理层、责任人员及相关代表召开座谈会，听取该项目有关情况介绍；（2）收集核查资料。收集该项目相关文件和项目单位相关制度等资料；核查相关制度是否完善，项目支出是否合规，资金拨付手续是否齐全，是否存在截留、挪用等情况；（3）现场查看。进入实地查看，拍照取证，调查走访，发放问卷调查。（4）归纳汇总。对提供材料及自评报告，结合现场评价情况进行综合分析、归纳汇总；（5）得出评价结论，形成绩效评价报告。</w:t>
      </w:r>
    </w:p>
    <w:p>
      <w:pPr>
        <w:pStyle w:val="9"/>
        <w:ind w:firstLine="482" w:firstLineChars="150"/>
        <w:rPr>
          <w:rFonts w:ascii="仿宋" w:hAnsi="仿宋" w:eastAsia="仿宋"/>
          <w:b/>
          <w:sz w:val="32"/>
          <w:szCs w:val="32"/>
        </w:rPr>
      </w:pPr>
      <w:r>
        <w:rPr>
          <w:rFonts w:hint="eastAsia" w:ascii="仿宋" w:hAnsi="仿宋" w:eastAsia="仿宋"/>
          <w:b/>
          <w:sz w:val="32"/>
          <w:szCs w:val="32"/>
        </w:rPr>
        <w:t>五、绩效评价结果和绩效分析</w:t>
      </w:r>
    </w:p>
    <w:p>
      <w:pPr>
        <w:pStyle w:val="9"/>
        <w:ind w:firstLine="480" w:firstLineChars="200"/>
        <w:rPr>
          <w:rFonts w:ascii="仿宋" w:hAnsi="仿宋" w:eastAsia="仿宋"/>
          <w:sz w:val="24"/>
          <w:szCs w:val="24"/>
        </w:rPr>
      </w:pPr>
      <w:r>
        <w:rPr>
          <w:rFonts w:hint="eastAsia" w:ascii="仿宋" w:hAnsi="仿宋" w:eastAsia="仿宋"/>
          <w:sz w:val="24"/>
          <w:szCs w:val="24"/>
        </w:rPr>
        <w:t>根据该项目资金绩效评价指标体系和绩效检查情况，该项目整体绩效分值100分，实得85分，被评为“良好”等级(详见：2020年南县住房和城乡建设局“污水管理经费专项”项目支出绩效评价指标评分表)。主要绩效表现在以下几个方面：</w:t>
      </w:r>
    </w:p>
    <w:p>
      <w:pPr>
        <w:pStyle w:val="9"/>
        <w:numPr>
          <w:ilvl w:val="0"/>
          <w:numId w:val="1"/>
        </w:numPr>
        <w:ind w:firstLine="480" w:firstLineChars="200"/>
        <w:rPr>
          <w:rFonts w:ascii="仿宋" w:hAnsi="仿宋" w:eastAsia="仿宋"/>
          <w:sz w:val="24"/>
          <w:szCs w:val="24"/>
        </w:rPr>
      </w:pPr>
      <w:r>
        <w:rPr>
          <w:rFonts w:hint="eastAsia" w:ascii="仿宋" w:hAnsi="仿宋" w:eastAsia="仿宋"/>
          <w:sz w:val="24"/>
          <w:szCs w:val="24"/>
        </w:rPr>
        <w:t>项目经济性分析：</w:t>
      </w:r>
    </w:p>
    <w:p>
      <w:pPr>
        <w:spacing w:line="520" w:lineRule="exact"/>
        <w:ind w:firstLine="720" w:firstLineChars="300"/>
        <w:rPr>
          <w:rFonts w:ascii="仿宋" w:hAnsi="仿宋" w:eastAsia="仿宋"/>
          <w:sz w:val="24"/>
        </w:rPr>
      </w:pPr>
      <w:r>
        <w:rPr>
          <w:rFonts w:hint="eastAsia" w:ascii="仿宋" w:hAnsi="仿宋" w:eastAsia="仿宋"/>
          <w:sz w:val="24"/>
        </w:rPr>
        <w:t>1、南县住房和城乡建设局2020年污水管理经费专项项目严格按照年初批复的预算安排项目资金，控制项目的预算成本，确保项目资金的使用效益。预算资金55万元，实际使用资金55万元。</w:t>
      </w:r>
    </w:p>
    <w:p>
      <w:pPr>
        <w:spacing w:line="520" w:lineRule="exact"/>
        <w:ind w:firstLine="720" w:firstLineChars="300"/>
        <w:rPr>
          <w:rFonts w:ascii="仿宋" w:hAnsi="仿宋" w:eastAsia="仿宋"/>
          <w:sz w:val="24"/>
        </w:rPr>
      </w:pPr>
      <w:r>
        <w:rPr>
          <w:rFonts w:hint="eastAsia" w:ascii="仿宋" w:hAnsi="仿宋" w:eastAsia="仿宋"/>
          <w:sz w:val="24"/>
        </w:rPr>
        <w:t>2、全县水质提标的完成，保障了项目单位全年经济指标的顺利完成。全年完成了立项争资1.6亿元，同比增长4.15%；招商引资0.3亿元；核定建安造价27亿元，建筑业总产值51.87亿元，同比增长27%；新报建人防工程项目4个新增人防工程建筑面积10299.20平方米，征收异地建设费202万元；商品房销售额29.8亿元，销售面积约68万平方米，同比均增长10%；自来水公司完成售水量890万吨，销售收入2500万元，同比分别增长11.25%、4.16%。</w:t>
      </w:r>
    </w:p>
    <w:p>
      <w:pPr>
        <w:spacing w:line="520" w:lineRule="exact"/>
        <w:ind w:firstLine="360" w:firstLineChars="150"/>
        <w:rPr>
          <w:rFonts w:ascii="仿宋" w:hAnsi="仿宋" w:eastAsia="仿宋"/>
          <w:sz w:val="24"/>
        </w:rPr>
      </w:pPr>
      <w:r>
        <w:rPr>
          <w:rFonts w:hint="eastAsia" w:ascii="仿宋" w:hAnsi="仿宋" w:eastAsia="仿宋"/>
          <w:sz w:val="24"/>
        </w:rPr>
        <w:t>（二）项目的有效性分析</w:t>
      </w:r>
    </w:p>
    <w:p>
      <w:pPr>
        <w:spacing w:line="520" w:lineRule="exact"/>
        <w:ind w:firstLine="600" w:firstLineChars="250"/>
        <w:rPr>
          <w:rFonts w:ascii="仿宋" w:hAnsi="仿宋" w:eastAsia="仿宋"/>
          <w:sz w:val="24"/>
        </w:rPr>
      </w:pPr>
      <w:r>
        <w:rPr>
          <w:rFonts w:hint="eastAsia" w:ascii="仿宋" w:hAnsi="仿宋" w:eastAsia="仿宋"/>
          <w:sz w:val="24"/>
        </w:rPr>
        <w:t>本项目的有效性体现在以下几个方面：</w:t>
      </w:r>
    </w:p>
    <w:p>
      <w:pPr>
        <w:pStyle w:val="5"/>
        <w:shd w:val="clear" w:color="auto" w:fill="FFFFFF"/>
        <w:spacing w:before="0" w:beforeAutospacing="0" w:after="0" w:afterAutospacing="0" w:line="520" w:lineRule="exact"/>
        <w:ind w:firstLine="560"/>
        <w:rPr>
          <w:rFonts w:ascii="仿宋" w:hAnsi="仿宋" w:eastAsia="仿宋" w:cs="Times New Roman"/>
          <w:kern w:val="2"/>
        </w:rPr>
      </w:pPr>
      <w:r>
        <w:rPr>
          <w:rFonts w:hint="eastAsia" w:ascii="仿宋" w:hAnsi="仿宋" w:eastAsia="仿宋" w:cs="Times New Roman"/>
          <w:kern w:val="2"/>
        </w:rPr>
        <w:t>1.提高了县城污水处理能力，提升了水质，改善了水环境。尤其是南县县城第一污水处理厂的提标改造后，污水处理能力达到2万吨/天，将改良型氧化沟工艺改造为AAO+MBBR工艺后，排放标准由一级B提升到一级A。改善了鱼尾洲电排渠水质，同时减少了对藕池河东支流域污染物的排放，对藕池河东支下游地区水源地的保护和水体保护起到了重要作用。</w:t>
      </w:r>
    </w:p>
    <w:p>
      <w:pPr>
        <w:pStyle w:val="5"/>
        <w:shd w:val="clear" w:color="auto" w:fill="FFFFFF"/>
        <w:spacing w:before="0" w:beforeAutospacing="0" w:after="0" w:afterAutospacing="0" w:line="520" w:lineRule="exact"/>
        <w:ind w:firstLine="560"/>
        <w:rPr>
          <w:rFonts w:ascii="仿宋" w:hAnsi="仿宋" w:eastAsia="仿宋" w:cs="Times New Roman"/>
          <w:kern w:val="2"/>
        </w:rPr>
      </w:pPr>
      <w:r>
        <w:rPr>
          <w:rFonts w:hint="eastAsia" w:ascii="仿宋" w:hAnsi="仿宋" w:eastAsia="仿宋" w:cs="Times New Roman"/>
          <w:kern w:val="2"/>
        </w:rPr>
        <w:t>2.完善了乡镇污水处理基础设施。投入700万元完成华阁镇河口集镇污水处理站建设，处理规模200吨/天，配套污水管网约4000米；投入2700万元完成了乡镇污水管网补短板工程，新建管网23公里；投入60万元对城南双洋渠、渔尾渠黑臭水体进行治理，实施了截污。</w:t>
      </w:r>
    </w:p>
    <w:p>
      <w:pPr>
        <w:spacing w:line="520" w:lineRule="exact"/>
        <w:ind w:firstLine="600" w:firstLineChars="250"/>
        <w:rPr>
          <w:rFonts w:ascii="仿宋" w:hAnsi="仿宋" w:eastAsia="仿宋"/>
          <w:sz w:val="24"/>
        </w:rPr>
      </w:pPr>
      <w:r>
        <w:rPr>
          <w:rFonts w:hint="eastAsia" w:ascii="仿宋" w:hAnsi="仿宋" w:eastAsia="仿宋"/>
          <w:sz w:val="24"/>
        </w:rPr>
        <w:t>3.保障了居民生活用水的安全性，提高了居民的生活环境。</w:t>
      </w:r>
    </w:p>
    <w:p>
      <w:pPr>
        <w:spacing w:line="520" w:lineRule="exact"/>
        <w:ind w:firstLine="360" w:firstLineChars="150"/>
        <w:rPr>
          <w:rFonts w:ascii="仿宋" w:hAnsi="仿宋" w:eastAsia="仿宋"/>
          <w:sz w:val="24"/>
        </w:rPr>
      </w:pPr>
      <w:r>
        <w:rPr>
          <w:rFonts w:hint="eastAsia" w:ascii="仿宋" w:hAnsi="仿宋" w:eastAsia="仿宋"/>
          <w:sz w:val="24"/>
        </w:rPr>
        <w:t>（三）项目的可持续性分析</w:t>
      </w:r>
    </w:p>
    <w:p>
      <w:pPr>
        <w:spacing w:line="520" w:lineRule="exact"/>
        <w:ind w:firstLine="360" w:firstLineChars="150"/>
        <w:jc w:val="both"/>
        <w:rPr>
          <w:rFonts w:ascii="仿宋" w:hAnsi="仿宋" w:eastAsia="仿宋"/>
          <w:sz w:val="24"/>
        </w:rPr>
      </w:pPr>
      <w:r>
        <w:rPr>
          <w:rFonts w:hint="eastAsia" w:ascii="仿宋" w:hAnsi="仿宋" w:eastAsia="仿宋"/>
          <w:color w:val="333333"/>
          <w:sz w:val="24"/>
          <w:szCs w:val="24"/>
          <w:shd w:val="clear" w:color="auto" w:fill="FFFFFF"/>
        </w:rPr>
        <w:t>项目的实施，即节约了水资源，又美化了环境，还可保证人民群众的用水安全，符合国家当前战略，并且单位每年都会组织项目人员进行专业技术知识的培训，为项目的可持续运行提供了制度和安全保障。</w:t>
      </w:r>
    </w:p>
    <w:p>
      <w:pPr>
        <w:spacing w:line="520" w:lineRule="exact"/>
        <w:ind w:firstLine="360" w:firstLineChars="150"/>
        <w:rPr>
          <w:rFonts w:ascii="仿宋" w:hAnsi="仿宋" w:eastAsia="仿宋"/>
          <w:sz w:val="24"/>
        </w:rPr>
      </w:pPr>
      <w:r>
        <w:rPr>
          <w:rFonts w:hint="eastAsia" w:ascii="仿宋" w:hAnsi="仿宋" w:eastAsia="仿宋"/>
          <w:sz w:val="24"/>
        </w:rPr>
        <w:t>（四）满意度完成指标分析</w:t>
      </w:r>
    </w:p>
    <w:p>
      <w:pPr>
        <w:spacing w:line="520" w:lineRule="exact"/>
        <w:ind w:firstLine="424" w:firstLineChars="177"/>
        <w:rPr>
          <w:rFonts w:ascii="仿宋" w:hAnsi="仿宋" w:eastAsia="仿宋"/>
          <w:sz w:val="24"/>
        </w:rPr>
      </w:pPr>
      <w:r>
        <w:rPr>
          <w:rFonts w:hint="eastAsia" w:ascii="仿宋" w:hAnsi="仿宋" w:eastAsia="仿宋"/>
          <w:sz w:val="24"/>
        </w:rPr>
        <w:t>南县住房和城乡建设局2020年污水管理经费专项项目，从调查问卷中可以看出全县市民对实施该项目极为支持与认同，认为该项目是一项与市民切身利益及南县城市发展紧密相关的。满意度调查结果在98%以上。</w:t>
      </w:r>
    </w:p>
    <w:p>
      <w:pPr>
        <w:pStyle w:val="9"/>
        <w:ind w:firstLine="482" w:firstLineChars="150"/>
        <w:rPr>
          <w:rFonts w:ascii="仿宋" w:hAnsi="仿宋" w:eastAsia="仿宋"/>
          <w:b/>
          <w:sz w:val="32"/>
          <w:szCs w:val="32"/>
        </w:rPr>
      </w:pPr>
      <w:r>
        <w:rPr>
          <w:rFonts w:hint="eastAsia" w:ascii="仿宋" w:hAnsi="仿宋" w:eastAsia="仿宋"/>
          <w:b/>
          <w:sz w:val="32"/>
          <w:szCs w:val="32"/>
        </w:rPr>
        <w:t>六、存在的主要问题</w:t>
      </w:r>
    </w:p>
    <w:p>
      <w:pPr>
        <w:pStyle w:val="9"/>
        <w:ind w:firstLine="480" w:firstLineChars="200"/>
        <w:rPr>
          <w:rFonts w:ascii="仿宋" w:hAnsi="仿宋" w:eastAsia="仿宋"/>
          <w:sz w:val="24"/>
          <w:szCs w:val="24"/>
        </w:rPr>
      </w:pPr>
      <w:r>
        <w:rPr>
          <w:rFonts w:hint="eastAsia" w:ascii="仿宋" w:hAnsi="仿宋" w:eastAsia="仿宋"/>
          <w:sz w:val="24"/>
          <w:szCs w:val="24"/>
        </w:rPr>
        <w:t>南县住房和城乡建设局2020年度“污水处理工程管理专项资金”在项目决策上合理，实施过程中领导重视，管理较规范，较好的达到了预期的绩效目标，但有些方面仍有不足，主要有：</w:t>
      </w:r>
    </w:p>
    <w:p>
      <w:pPr>
        <w:pStyle w:val="9"/>
        <w:ind w:firstLine="361" w:firstLineChars="150"/>
        <w:rPr>
          <w:rFonts w:hint="eastAsia" w:ascii="仿宋" w:hAnsi="仿宋" w:eastAsia="仿宋"/>
          <w:sz w:val="24"/>
          <w:szCs w:val="24"/>
        </w:rPr>
      </w:pPr>
      <w:r>
        <w:rPr>
          <w:rFonts w:hint="eastAsia" w:ascii="仿宋" w:hAnsi="仿宋" w:eastAsia="仿宋"/>
          <w:b/>
          <w:sz w:val="24"/>
          <w:szCs w:val="24"/>
        </w:rPr>
        <w:t>（一）项目资金实际使用与项目单位绩效申报资金使用范围不匹配。</w:t>
      </w:r>
      <w:r>
        <w:rPr>
          <w:rFonts w:hint="eastAsia" w:ascii="仿宋" w:hAnsi="仿宋" w:eastAsia="仿宋"/>
          <w:sz w:val="24"/>
          <w:szCs w:val="24"/>
        </w:rPr>
        <w:t>根据项目单位提供的专项资金绩效目标申报表内容，该专项资金55万元，其中水质检测53万、车辆2万元。从项目单位提供的实际支出明细佐证资料中，项目单位本级实际支出多为办公费、差旅费等。拨付二级机构及乡镇污水管理站的专项资金46万，经过延伸检查，未实际用于水质检测。具体使用情况如下：</w:t>
      </w:r>
    </w:p>
    <w:p>
      <w:pPr>
        <w:pStyle w:val="9"/>
        <w:ind w:firstLine="240" w:firstLineChars="100"/>
        <w:rPr>
          <w:rFonts w:hint="eastAsia" w:ascii="仿宋" w:hAnsi="仿宋" w:eastAsia="仿宋"/>
          <w:sz w:val="24"/>
          <w:szCs w:val="24"/>
        </w:rPr>
      </w:pPr>
      <w:r>
        <w:rPr>
          <w:rFonts w:hint="eastAsia" w:ascii="仿宋" w:hAnsi="仿宋" w:eastAsia="仿宋"/>
          <w:sz w:val="24"/>
          <w:szCs w:val="24"/>
        </w:rPr>
        <w:t>①德昌公园的8万元，主要是用于交排污口电费；</w:t>
      </w:r>
    </w:p>
    <w:p>
      <w:pPr>
        <w:pStyle w:val="9"/>
        <w:ind w:firstLine="240" w:firstLineChars="100"/>
        <w:rPr>
          <w:rFonts w:hint="eastAsia" w:ascii="仿宋" w:hAnsi="仿宋" w:eastAsia="仿宋"/>
          <w:sz w:val="24"/>
          <w:szCs w:val="24"/>
        </w:rPr>
      </w:pPr>
      <w:r>
        <w:rPr>
          <w:rFonts w:hint="eastAsia" w:ascii="仿宋" w:hAnsi="仿宋" w:eastAsia="仿宋"/>
          <w:sz w:val="24"/>
          <w:szCs w:val="24"/>
        </w:rPr>
        <w:t>②自来水公司20万元，主要是买的管材；</w:t>
      </w:r>
    </w:p>
    <w:p>
      <w:pPr>
        <w:pStyle w:val="9"/>
        <w:ind w:firstLine="240" w:firstLineChars="100"/>
        <w:rPr>
          <w:rFonts w:hint="eastAsia" w:ascii="仿宋" w:hAnsi="仿宋" w:eastAsia="仿宋"/>
          <w:sz w:val="24"/>
          <w:szCs w:val="24"/>
        </w:rPr>
      </w:pPr>
      <w:r>
        <w:rPr>
          <w:rFonts w:hint="eastAsia" w:ascii="仿宋" w:hAnsi="仿宋" w:eastAsia="仿宋"/>
          <w:sz w:val="24"/>
          <w:szCs w:val="24"/>
        </w:rPr>
        <w:t>③华阁镇5万元主要是青苗补偿及菜土补偿；</w:t>
      </w:r>
    </w:p>
    <w:p>
      <w:pPr>
        <w:pStyle w:val="9"/>
        <w:ind w:firstLine="240" w:firstLineChars="100"/>
        <w:rPr>
          <w:rFonts w:ascii="仿宋" w:hAnsi="仿宋" w:eastAsia="仿宋"/>
          <w:sz w:val="24"/>
          <w:szCs w:val="24"/>
        </w:rPr>
      </w:pPr>
      <w:r>
        <w:rPr>
          <w:rFonts w:hint="eastAsia" w:ascii="仿宋" w:hAnsi="仿宋" w:eastAsia="仿宋"/>
          <w:sz w:val="24"/>
          <w:szCs w:val="24"/>
        </w:rPr>
        <w:t>④其他三个乡镇13万元，主要是支付管网维护费，均与绩效目标申报的使用范围不匹配。</w:t>
      </w:r>
    </w:p>
    <w:p>
      <w:pPr>
        <w:pStyle w:val="9"/>
        <w:ind w:firstLine="549" w:firstLineChars="228"/>
        <w:rPr>
          <w:rFonts w:ascii="仿宋" w:hAnsi="仿宋" w:eastAsia="仿宋"/>
          <w:sz w:val="24"/>
          <w:szCs w:val="24"/>
        </w:rPr>
      </w:pPr>
      <w:r>
        <w:rPr>
          <w:rFonts w:hint="eastAsia" w:ascii="仿宋" w:hAnsi="仿宋" w:eastAsia="仿宋"/>
          <w:b/>
          <w:sz w:val="24"/>
          <w:szCs w:val="24"/>
        </w:rPr>
        <w:t>(二)监督检查工作未到位，有待加强。</w:t>
      </w:r>
      <w:r>
        <w:rPr>
          <w:rFonts w:hint="eastAsia" w:ascii="仿宋" w:hAnsi="仿宋" w:eastAsia="仿宋"/>
          <w:sz w:val="24"/>
          <w:szCs w:val="24"/>
        </w:rPr>
        <w:t>监督检查是保证预算执行的重要手段，通过实施内部监督检查，可以及时查找并督促整改专项管理中存在的问题，发挥监督预算、纠偏、评价及监管职能 ，推动财政管理更加规范、科学、合理、高效。本工作专项项目资金拨付到所属机构及下面乡镇的管理经费46万元，占项目资金使用总额的83.64%，没有相关监督检查资料。</w:t>
      </w:r>
    </w:p>
    <w:p>
      <w:pPr>
        <w:pStyle w:val="9"/>
        <w:ind w:firstLine="361" w:firstLineChars="150"/>
        <w:rPr>
          <w:rFonts w:ascii="仿宋" w:hAnsi="仿宋" w:eastAsia="仿宋"/>
          <w:sz w:val="24"/>
          <w:szCs w:val="24"/>
        </w:rPr>
      </w:pPr>
      <w:r>
        <w:rPr>
          <w:rFonts w:hint="eastAsia" w:ascii="仿宋" w:hAnsi="仿宋" w:eastAsia="仿宋"/>
          <w:b/>
          <w:sz w:val="24"/>
          <w:szCs w:val="24"/>
        </w:rPr>
        <w:t>（三）部分项目建设进程滞后。</w:t>
      </w:r>
      <w:r>
        <w:rPr>
          <w:rFonts w:hint="eastAsia" w:ascii="仿宋" w:hAnsi="仿宋" w:eastAsia="仿宋"/>
          <w:sz w:val="24"/>
          <w:szCs w:val="24"/>
        </w:rPr>
        <w:t>县城第三、第四污水处理厂分别完成主体工程的80%、40%。</w:t>
      </w:r>
    </w:p>
    <w:p>
      <w:pPr>
        <w:pStyle w:val="9"/>
        <w:ind w:firstLine="640"/>
        <w:rPr>
          <w:rFonts w:ascii="仿宋" w:hAnsi="仿宋" w:eastAsia="仿宋"/>
          <w:b/>
          <w:bCs/>
          <w:sz w:val="32"/>
          <w:szCs w:val="32"/>
        </w:rPr>
      </w:pPr>
      <w:r>
        <w:rPr>
          <w:rFonts w:hint="eastAsia" w:ascii="仿宋" w:hAnsi="仿宋" w:eastAsia="仿宋"/>
          <w:b/>
          <w:bCs/>
          <w:sz w:val="32"/>
          <w:szCs w:val="32"/>
        </w:rPr>
        <w:t>七、建议</w:t>
      </w:r>
    </w:p>
    <w:p>
      <w:pPr>
        <w:pStyle w:val="9"/>
        <w:ind w:firstLine="361" w:firstLineChars="150"/>
        <w:rPr>
          <w:rFonts w:ascii="仿宋" w:hAnsi="仿宋" w:eastAsia="仿宋"/>
          <w:sz w:val="24"/>
          <w:szCs w:val="24"/>
        </w:rPr>
      </w:pPr>
      <w:r>
        <w:rPr>
          <w:rFonts w:hint="eastAsia" w:ascii="仿宋" w:hAnsi="仿宋" w:eastAsia="仿宋"/>
          <w:b/>
          <w:sz w:val="24"/>
          <w:szCs w:val="24"/>
        </w:rPr>
        <w:t xml:space="preserve"> (一)加强专项项目资金使用管理。</w:t>
      </w:r>
      <w:r>
        <w:rPr>
          <w:rFonts w:hint="eastAsia" w:ascii="仿宋" w:hAnsi="仿宋" w:eastAsia="仿宋"/>
          <w:sz w:val="24"/>
          <w:szCs w:val="24"/>
        </w:rPr>
        <w:t>在实际使用专项资金时，项目单位应严格按照申请该项目资金确定的使用范围使用专项资金，严禁超范围使用。坚决实行“专人管理、专户储存、专账核算、专项使用”的原则，严禁挤占专项资金。</w:t>
      </w:r>
    </w:p>
    <w:p>
      <w:pPr>
        <w:pStyle w:val="9"/>
        <w:ind w:firstLine="241" w:firstLineChars="100"/>
        <w:rPr>
          <w:rFonts w:ascii="仿宋" w:hAnsi="仿宋" w:eastAsia="仿宋"/>
          <w:sz w:val="24"/>
          <w:szCs w:val="24"/>
        </w:rPr>
      </w:pPr>
      <w:r>
        <w:rPr>
          <w:rFonts w:hint="eastAsia" w:ascii="仿宋" w:hAnsi="仿宋" w:eastAsia="仿宋"/>
          <w:b/>
          <w:sz w:val="24"/>
          <w:szCs w:val="24"/>
        </w:rPr>
        <w:t>（二）加强监督检查工作。</w:t>
      </w:r>
      <w:r>
        <w:rPr>
          <w:rFonts w:hint="eastAsia" w:ascii="仿宋" w:hAnsi="仿宋" w:eastAsia="仿宋"/>
          <w:sz w:val="24"/>
          <w:szCs w:val="24"/>
        </w:rPr>
        <w:t>充分认识督查工作的重要性，通过开展积极有效的督查工作，可以及时了解决策执行中的情况、经验和问题。克服形式化、简单化，解决落实根本问题，积极发挥督查作用。</w:t>
      </w:r>
    </w:p>
    <w:p>
      <w:pPr>
        <w:pStyle w:val="9"/>
        <w:ind w:firstLine="120" w:firstLineChars="50"/>
        <w:rPr>
          <w:rFonts w:ascii="仿宋" w:hAnsi="仿宋" w:eastAsia="仿宋"/>
          <w:sz w:val="24"/>
          <w:szCs w:val="24"/>
        </w:rPr>
      </w:pPr>
      <w:r>
        <w:rPr>
          <w:rFonts w:hint="eastAsia" w:ascii="仿宋" w:hAnsi="仿宋" w:eastAsia="仿宋"/>
          <w:b/>
          <w:sz w:val="24"/>
          <w:szCs w:val="24"/>
        </w:rPr>
        <w:t>（三）加快推进项目建设进度。</w:t>
      </w:r>
      <w:r>
        <w:rPr>
          <w:rFonts w:hint="eastAsia" w:ascii="仿宋" w:hAnsi="仿宋" w:eastAsia="仿宋"/>
          <w:sz w:val="24"/>
          <w:szCs w:val="24"/>
        </w:rPr>
        <w:t>针对三污四污项目，应加强项目管理，主动与相关部门沟通协调，积极推进项目建设进度。</w:t>
      </w:r>
    </w:p>
    <w:p>
      <w:pPr>
        <w:pStyle w:val="9"/>
        <w:rPr>
          <w:rFonts w:ascii="仿宋" w:hAnsi="仿宋" w:eastAsia="仿宋"/>
          <w:sz w:val="24"/>
          <w:szCs w:val="24"/>
        </w:rPr>
      </w:pPr>
    </w:p>
    <w:p>
      <w:pPr>
        <w:pStyle w:val="9"/>
        <w:rPr>
          <w:rFonts w:ascii="仿宋" w:hAnsi="仿宋" w:eastAsia="仿宋"/>
          <w:sz w:val="24"/>
          <w:szCs w:val="24"/>
        </w:rPr>
      </w:pPr>
    </w:p>
    <w:p>
      <w:pPr>
        <w:pStyle w:val="9"/>
        <w:rPr>
          <w:rFonts w:ascii="仿宋" w:hAnsi="仿宋" w:eastAsia="仿宋"/>
          <w:sz w:val="24"/>
          <w:szCs w:val="24"/>
        </w:rPr>
      </w:pPr>
    </w:p>
    <w:p>
      <w:pPr>
        <w:pStyle w:val="9"/>
        <w:rPr>
          <w:rFonts w:ascii="仿宋" w:hAnsi="仿宋" w:eastAsia="仿宋"/>
          <w:sz w:val="24"/>
          <w:szCs w:val="24"/>
        </w:rPr>
      </w:pPr>
    </w:p>
    <w:p>
      <w:pPr>
        <w:pStyle w:val="9"/>
        <w:rPr>
          <w:rFonts w:ascii="仿宋" w:hAnsi="仿宋" w:eastAsia="仿宋"/>
          <w:sz w:val="24"/>
          <w:szCs w:val="24"/>
        </w:rPr>
      </w:pPr>
    </w:p>
    <w:p>
      <w:pPr>
        <w:pStyle w:val="9"/>
        <w:rPr>
          <w:rFonts w:ascii="仿宋" w:hAnsi="仿宋" w:eastAsia="仿宋"/>
          <w:sz w:val="24"/>
          <w:szCs w:val="24"/>
        </w:rPr>
      </w:pPr>
    </w:p>
    <w:p>
      <w:pPr>
        <w:pStyle w:val="9"/>
        <w:rPr>
          <w:rFonts w:ascii="仿宋" w:hAnsi="仿宋" w:eastAsia="仿宋"/>
          <w:sz w:val="24"/>
          <w:szCs w:val="24"/>
        </w:rPr>
      </w:pPr>
    </w:p>
    <w:p>
      <w:pPr>
        <w:pStyle w:val="9"/>
        <w:rPr>
          <w:rFonts w:hint="eastAsia" w:ascii="仿宋" w:hAnsi="仿宋" w:eastAsia="仿宋"/>
          <w:sz w:val="24"/>
          <w:szCs w:val="24"/>
        </w:rPr>
      </w:pPr>
    </w:p>
    <w:p>
      <w:pPr>
        <w:pStyle w:val="9"/>
        <w:rPr>
          <w:rFonts w:hint="eastAsia" w:ascii="仿宋" w:hAnsi="仿宋" w:eastAsia="仿宋"/>
          <w:sz w:val="24"/>
          <w:szCs w:val="24"/>
        </w:rPr>
      </w:pPr>
    </w:p>
    <w:p>
      <w:pPr>
        <w:pStyle w:val="9"/>
        <w:rPr>
          <w:rFonts w:ascii="仿宋" w:hAnsi="仿宋" w:eastAsia="仿宋"/>
          <w:sz w:val="24"/>
          <w:szCs w:val="24"/>
        </w:rPr>
      </w:pPr>
    </w:p>
    <w:p>
      <w:pPr>
        <w:pStyle w:val="9"/>
        <w:rPr>
          <w:rFonts w:ascii="仿宋" w:hAnsi="仿宋" w:eastAsia="仿宋"/>
          <w:sz w:val="24"/>
          <w:szCs w:val="24"/>
        </w:rPr>
      </w:pPr>
      <w:r>
        <w:rPr>
          <w:rFonts w:hint="eastAsia" w:ascii="仿宋" w:hAnsi="仿宋" w:eastAsia="仿宋"/>
          <w:sz w:val="24"/>
          <w:szCs w:val="24"/>
        </w:rPr>
        <w:t>（此页无正文）</w:t>
      </w:r>
    </w:p>
    <w:p>
      <w:pPr>
        <w:pStyle w:val="9"/>
        <w:ind w:firstLine="480" w:firstLineChars="200"/>
        <w:rPr>
          <w:rFonts w:ascii="仿宋" w:hAnsi="仿宋" w:eastAsia="仿宋"/>
          <w:sz w:val="24"/>
          <w:szCs w:val="24"/>
        </w:rPr>
      </w:pPr>
      <w:r>
        <w:rPr>
          <w:rFonts w:hint="eastAsia" w:ascii="仿宋" w:hAnsi="仿宋" w:eastAsia="仿宋"/>
          <w:sz w:val="24"/>
          <w:szCs w:val="24"/>
        </w:rPr>
        <w:drawing>
          <wp:anchor distT="0" distB="0" distL="114300" distR="114300" simplePos="0" relativeHeight="251660288" behindDoc="1" locked="0" layoutInCell="1" allowOverlap="1">
            <wp:simplePos x="0" y="0"/>
            <wp:positionH relativeFrom="column">
              <wp:posOffset>4218940</wp:posOffset>
            </wp:positionH>
            <wp:positionV relativeFrom="paragraph">
              <wp:posOffset>190500</wp:posOffset>
            </wp:positionV>
            <wp:extent cx="918845" cy="699135"/>
            <wp:effectExtent l="19050" t="0" r="0" b="0"/>
            <wp:wrapTight wrapText="bothSides">
              <wp:wrapPolygon>
                <wp:start x="-448" y="0"/>
                <wp:lineTo x="-448" y="21188"/>
                <wp:lineTo x="21496" y="21188"/>
                <wp:lineTo x="21496" y="0"/>
                <wp:lineTo x="-448" y="0"/>
              </wp:wrapPolygon>
            </wp:wrapTight>
            <wp:docPr id="6" name="图片 7" descr="CPA签章节第四页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CPA签章节第四页7"/>
                    <pic:cNvPicPr>
                      <a:picLocks noChangeAspect="1" noChangeArrowheads="1"/>
                    </pic:cNvPicPr>
                  </pic:nvPicPr>
                  <pic:blipFill>
                    <a:blip r:embed="rId7" cstate="print">
                      <a:lum bright="-42000" contrast="100000"/>
                    </a:blip>
                    <a:srcRect l="72916" t="10272" r="14258" b="82861"/>
                    <a:stretch>
                      <a:fillRect/>
                    </a:stretch>
                  </pic:blipFill>
                  <pic:spPr>
                    <a:xfrm>
                      <a:off x="0" y="0"/>
                      <a:ext cx="918845" cy="699135"/>
                    </a:xfrm>
                    <a:prstGeom prst="rect">
                      <a:avLst/>
                    </a:prstGeom>
                    <a:solidFill>
                      <a:srgbClr val="000000"/>
                    </a:solidFill>
                    <a:ln w="9525">
                      <a:noFill/>
                      <a:miter lim="800000"/>
                      <a:headEnd/>
                      <a:tailEnd/>
                    </a:ln>
                  </pic:spPr>
                </pic:pic>
              </a:graphicData>
            </a:graphic>
          </wp:anchor>
        </w:drawing>
      </w:r>
    </w:p>
    <w:p>
      <w:pPr>
        <w:spacing w:line="360" w:lineRule="auto"/>
        <w:rPr>
          <w:rFonts w:ascii="仿宋" w:hAnsi="仿宋" w:eastAsia="仿宋"/>
          <w:b/>
          <w:color w:val="000000"/>
          <w:sz w:val="24"/>
          <w:szCs w:val="24"/>
        </w:rPr>
      </w:pPr>
      <w:r>
        <w:rPr>
          <w:rFonts w:hint="eastAsia" w:ascii="仿宋" w:hAnsi="仿宋" w:eastAsia="仿宋"/>
          <w:b/>
          <w:color w:val="000000"/>
          <w:sz w:val="24"/>
          <w:szCs w:val="24"/>
        </w:rPr>
        <w:t xml:space="preserve">湖南新财苑会计师事务所 </w:t>
      </w:r>
      <w:r>
        <w:rPr>
          <w:rFonts w:hint="eastAsia" w:ascii="宋体" w:hAnsi="宋体" w:eastAsia="仿宋"/>
          <w:b/>
          <w:color w:val="000000"/>
          <w:sz w:val="24"/>
          <w:szCs w:val="24"/>
        </w:rPr>
        <w:t> </w:t>
      </w:r>
      <w:r>
        <w:rPr>
          <w:rFonts w:hint="eastAsia" w:ascii="仿宋" w:hAnsi="仿宋" w:eastAsia="仿宋"/>
          <w:b/>
          <w:color w:val="000000"/>
          <w:sz w:val="24"/>
          <w:szCs w:val="24"/>
        </w:rPr>
        <w:t xml:space="preserve"> </w:t>
      </w:r>
      <w:r>
        <w:rPr>
          <w:rFonts w:hint="eastAsia" w:ascii="宋体" w:hAnsi="宋体" w:eastAsia="仿宋"/>
          <w:b/>
          <w:color w:val="000000"/>
          <w:sz w:val="24"/>
          <w:szCs w:val="24"/>
        </w:rPr>
        <w:t> </w:t>
      </w:r>
      <w:r>
        <w:rPr>
          <w:rFonts w:hint="eastAsia" w:ascii="仿宋" w:hAnsi="仿宋" w:eastAsia="仿宋"/>
          <w:b/>
          <w:color w:val="000000"/>
          <w:sz w:val="24"/>
          <w:szCs w:val="24"/>
        </w:rPr>
        <w:t xml:space="preserve"> </w:t>
      </w:r>
      <w:r>
        <w:rPr>
          <w:rFonts w:hint="eastAsia" w:ascii="宋体" w:hAnsi="宋体" w:eastAsia="仿宋"/>
          <w:b/>
          <w:color w:val="000000"/>
          <w:sz w:val="24"/>
          <w:szCs w:val="24"/>
        </w:rPr>
        <w:t> </w:t>
      </w:r>
      <w:r>
        <w:rPr>
          <w:rFonts w:hint="eastAsia" w:ascii="仿宋" w:hAnsi="仿宋" w:eastAsia="仿宋"/>
          <w:b/>
          <w:color w:val="000000"/>
          <w:sz w:val="24"/>
          <w:szCs w:val="24"/>
        </w:rPr>
        <w:t xml:space="preserve"> </w:t>
      </w:r>
      <w:r>
        <w:rPr>
          <w:rFonts w:hint="eastAsia" w:ascii="宋体" w:hAnsi="宋体" w:eastAsia="仿宋"/>
          <w:b/>
          <w:color w:val="000000"/>
          <w:sz w:val="24"/>
          <w:szCs w:val="24"/>
        </w:rPr>
        <w:t> </w:t>
      </w:r>
      <w:r>
        <w:rPr>
          <w:rFonts w:hint="eastAsia" w:ascii="仿宋" w:hAnsi="仿宋" w:eastAsia="仿宋"/>
          <w:b/>
          <w:color w:val="000000"/>
          <w:sz w:val="24"/>
          <w:szCs w:val="24"/>
        </w:rPr>
        <w:t xml:space="preserve">    中国注册会计师：</w:t>
      </w:r>
    </w:p>
    <w:p>
      <w:pPr>
        <w:spacing w:line="360" w:lineRule="auto"/>
        <w:ind w:firstLine="482" w:firstLineChars="200"/>
        <w:rPr>
          <w:rFonts w:ascii="仿宋" w:hAnsi="仿宋" w:eastAsia="仿宋"/>
          <w:b/>
          <w:color w:val="000000"/>
          <w:sz w:val="24"/>
          <w:szCs w:val="24"/>
        </w:rPr>
      </w:pPr>
      <w:r>
        <w:rPr>
          <w:rFonts w:hint="eastAsia" w:ascii="仿宋" w:hAnsi="仿宋" w:eastAsia="仿宋"/>
          <w:b/>
          <w:color w:val="000000"/>
          <w:sz w:val="24"/>
          <w:szCs w:val="24"/>
        </w:rPr>
        <w:drawing>
          <wp:anchor distT="0" distB="0" distL="114300" distR="114300" simplePos="0" relativeHeight="251659264" behindDoc="1" locked="0" layoutInCell="1" allowOverlap="0">
            <wp:simplePos x="0" y="0"/>
            <wp:positionH relativeFrom="column">
              <wp:posOffset>4218940</wp:posOffset>
            </wp:positionH>
            <wp:positionV relativeFrom="paragraph">
              <wp:posOffset>221615</wp:posOffset>
            </wp:positionV>
            <wp:extent cx="799465" cy="596265"/>
            <wp:effectExtent l="19050" t="0" r="635" b="0"/>
            <wp:wrapTight wrapText="bothSides">
              <wp:wrapPolygon>
                <wp:start x="-515" y="0"/>
                <wp:lineTo x="-515" y="20703"/>
                <wp:lineTo x="21617" y="20703"/>
                <wp:lineTo x="21617" y="0"/>
                <wp:lineTo x="-515" y="0"/>
              </wp:wrapPolygon>
            </wp:wrapTight>
            <wp:docPr id="5" name="图片 6" descr="CPA的签章节第一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CPA的签章节第一页4"/>
                    <pic:cNvPicPr>
                      <a:picLocks noChangeAspect="1" noChangeArrowheads="1"/>
                    </pic:cNvPicPr>
                  </pic:nvPicPr>
                  <pic:blipFill>
                    <a:blip r:embed="rId8" cstate="print">
                      <a:lum bright="-60000" contrast="100000"/>
                    </a:blip>
                    <a:srcRect l="70921" t="31078" r="16826" b="61583"/>
                    <a:stretch>
                      <a:fillRect/>
                    </a:stretch>
                  </pic:blipFill>
                  <pic:spPr>
                    <a:xfrm>
                      <a:off x="0" y="0"/>
                      <a:ext cx="799465" cy="596265"/>
                    </a:xfrm>
                    <a:prstGeom prst="rect">
                      <a:avLst/>
                    </a:prstGeom>
                    <a:solidFill>
                      <a:srgbClr val="000000"/>
                    </a:solidFill>
                    <a:ln w="9525">
                      <a:noFill/>
                      <a:miter lim="800000"/>
                      <a:headEnd/>
                      <a:tailEnd/>
                    </a:ln>
                  </pic:spPr>
                </pic:pic>
              </a:graphicData>
            </a:graphic>
          </wp:anchor>
        </w:drawing>
      </w:r>
      <w:r>
        <w:rPr>
          <w:rFonts w:hint="eastAsia" w:ascii="宋体" w:hAnsi="宋体" w:eastAsia="仿宋"/>
          <w:b/>
          <w:color w:val="000000"/>
          <w:sz w:val="24"/>
          <w:szCs w:val="24"/>
        </w:rPr>
        <w:t> </w:t>
      </w:r>
      <w:r>
        <w:rPr>
          <w:rFonts w:hint="eastAsia" w:ascii="仿宋" w:hAnsi="仿宋" w:eastAsia="仿宋"/>
          <w:b/>
          <w:color w:val="000000"/>
          <w:sz w:val="24"/>
          <w:szCs w:val="24"/>
        </w:rPr>
        <w:t xml:space="preserve"> 有限公司</w:t>
      </w:r>
      <w:r>
        <w:rPr>
          <w:rFonts w:hint="eastAsia" w:ascii="宋体" w:hAnsi="宋体" w:eastAsia="仿宋"/>
          <w:b/>
          <w:color w:val="000000"/>
          <w:sz w:val="24"/>
          <w:szCs w:val="24"/>
        </w:rPr>
        <w:t> </w:t>
      </w:r>
      <w:r>
        <w:rPr>
          <w:rFonts w:hint="eastAsia" w:ascii="仿宋" w:hAnsi="仿宋" w:eastAsia="仿宋"/>
          <w:b/>
          <w:color w:val="000000"/>
          <w:sz w:val="24"/>
          <w:szCs w:val="24"/>
        </w:rPr>
        <w:t xml:space="preserve"> </w:t>
      </w:r>
      <w:r>
        <w:rPr>
          <w:rFonts w:hint="eastAsia" w:ascii="宋体" w:hAnsi="宋体" w:eastAsia="仿宋"/>
          <w:b/>
          <w:color w:val="000000"/>
          <w:sz w:val="24"/>
          <w:szCs w:val="24"/>
        </w:rPr>
        <w:t> </w:t>
      </w:r>
      <w:r>
        <w:rPr>
          <w:rFonts w:hint="eastAsia" w:ascii="仿宋" w:hAnsi="仿宋" w:eastAsia="仿宋"/>
          <w:b/>
          <w:color w:val="000000"/>
          <w:sz w:val="24"/>
          <w:szCs w:val="24"/>
        </w:rPr>
        <w:t xml:space="preserve"> </w:t>
      </w:r>
      <w:r>
        <w:rPr>
          <w:rFonts w:hint="eastAsia" w:ascii="宋体" w:hAnsi="宋体" w:eastAsia="仿宋"/>
          <w:b/>
          <w:color w:val="000000"/>
          <w:sz w:val="24"/>
          <w:szCs w:val="24"/>
        </w:rPr>
        <w:t> </w:t>
      </w:r>
      <w:r>
        <w:rPr>
          <w:rFonts w:hint="eastAsia" w:ascii="仿宋" w:hAnsi="仿宋" w:eastAsia="仿宋"/>
          <w:b/>
          <w:color w:val="000000"/>
          <w:sz w:val="24"/>
          <w:szCs w:val="24"/>
        </w:rPr>
        <w:t xml:space="preserve"> </w:t>
      </w:r>
      <w:r>
        <w:rPr>
          <w:rFonts w:hint="eastAsia" w:ascii="宋体" w:hAnsi="宋体" w:eastAsia="仿宋"/>
          <w:b/>
          <w:color w:val="000000"/>
          <w:sz w:val="24"/>
          <w:szCs w:val="24"/>
        </w:rPr>
        <w:t> </w:t>
      </w:r>
      <w:r>
        <w:rPr>
          <w:rFonts w:hint="eastAsia" w:ascii="仿宋" w:hAnsi="仿宋" w:eastAsia="仿宋"/>
          <w:b/>
          <w:color w:val="000000"/>
          <w:sz w:val="24"/>
          <w:szCs w:val="24"/>
        </w:rPr>
        <w:t xml:space="preserve"> </w:t>
      </w:r>
      <w:r>
        <w:rPr>
          <w:rFonts w:hint="eastAsia" w:ascii="宋体" w:hAnsi="宋体" w:eastAsia="仿宋"/>
          <w:b/>
          <w:color w:val="000000"/>
          <w:sz w:val="24"/>
          <w:szCs w:val="24"/>
        </w:rPr>
        <w:t> </w:t>
      </w:r>
      <w:r>
        <w:rPr>
          <w:rFonts w:hint="eastAsia" w:ascii="仿宋" w:hAnsi="仿宋" w:eastAsia="仿宋"/>
          <w:b/>
          <w:color w:val="000000"/>
          <w:sz w:val="24"/>
          <w:szCs w:val="24"/>
        </w:rPr>
        <w:t xml:space="preserve"> </w:t>
      </w:r>
      <w:r>
        <w:rPr>
          <w:rFonts w:hint="eastAsia" w:ascii="宋体" w:hAnsi="宋体" w:eastAsia="仿宋"/>
          <w:b/>
          <w:color w:val="000000"/>
          <w:sz w:val="24"/>
          <w:szCs w:val="24"/>
        </w:rPr>
        <w:t> </w:t>
      </w:r>
      <w:r>
        <w:rPr>
          <w:rFonts w:hint="eastAsia" w:ascii="仿宋" w:hAnsi="仿宋" w:eastAsia="仿宋"/>
          <w:b/>
          <w:color w:val="000000"/>
          <w:sz w:val="24"/>
          <w:szCs w:val="24"/>
        </w:rPr>
        <w:t xml:space="preserve"> </w:t>
      </w:r>
      <w:r>
        <w:rPr>
          <w:rFonts w:hint="eastAsia" w:ascii="宋体" w:hAnsi="宋体" w:eastAsia="仿宋"/>
          <w:b/>
          <w:color w:val="000000"/>
          <w:sz w:val="24"/>
          <w:szCs w:val="24"/>
        </w:rPr>
        <w:t> </w:t>
      </w:r>
      <w:r>
        <w:rPr>
          <w:rFonts w:hint="eastAsia" w:ascii="仿宋" w:hAnsi="仿宋" w:eastAsia="仿宋"/>
          <w:b/>
          <w:color w:val="000000"/>
          <w:sz w:val="24"/>
          <w:szCs w:val="24"/>
        </w:rPr>
        <w:t xml:space="preserve">                                                      </w:t>
      </w:r>
    </w:p>
    <w:p>
      <w:pPr>
        <w:spacing w:line="360" w:lineRule="auto"/>
        <w:ind w:firstLine="482" w:firstLineChars="200"/>
        <w:rPr>
          <w:rFonts w:ascii="仿宋" w:hAnsi="仿宋" w:eastAsia="仿宋"/>
          <w:b/>
          <w:color w:val="000000"/>
          <w:sz w:val="24"/>
          <w:szCs w:val="24"/>
        </w:rPr>
      </w:pPr>
      <w:r>
        <w:rPr>
          <w:rFonts w:hint="eastAsia" w:ascii="仿宋" w:hAnsi="仿宋" w:eastAsia="仿宋"/>
          <w:b/>
          <w:color w:val="000000"/>
          <w:sz w:val="24"/>
          <w:szCs w:val="24"/>
        </w:rPr>
        <w:t xml:space="preserve">                                  中国注册会计师： </w:t>
      </w:r>
    </w:p>
    <w:p>
      <w:pPr>
        <w:spacing w:line="360" w:lineRule="auto"/>
        <w:ind w:firstLine="482" w:firstLineChars="200"/>
        <w:rPr>
          <w:rFonts w:ascii="仿宋" w:hAnsi="仿宋" w:eastAsia="仿宋"/>
          <w:b/>
          <w:color w:val="000000"/>
          <w:sz w:val="24"/>
          <w:szCs w:val="24"/>
        </w:rPr>
      </w:pPr>
      <w:r>
        <w:rPr>
          <w:rFonts w:hint="eastAsia" w:ascii="仿宋" w:hAnsi="仿宋" w:eastAsia="仿宋"/>
          <w:b/>
          <w:color w:val="000000"/>
          <w:sz w:val="24"/>
          <w:szCs w:val="24"/>
        </w:rPr>
        <w:t xml:space="preserve">                                                </w:t>
      </w:r>
    </w:p>
    <w:p>
      <w:pPr>
        <w:spacing w:line="360" w:lineRule="auto"/>
        <w:ind w:firstLine="602" w:firstLineChars="250"/>
      </w:pPr>
      <w:r>
        <w:rPr>
          <w:rFonts w:hint="eastAsia" w:ascii="仿宋" w:hAnsi="仿宋" w:eastAsia="仿宋"/>
          <w:b/>
          <w:color w:val="000000"/>
          <w:sz w:val="24"/>
          <w:szCs w:val="24"/>
        </w:rPr>
        <w:t>湖南  长沙</w:t>
      </w:r>
      <w:r>
        <w:rPr>
          <w:rFonts w:hint="eastAsia" w:ascii="宋体" w:hAnsi="宋体" w:eastAsia="仿宋"/>
          <w:b/>
          <w:color w:val="000000"/>
          <w:sz w:val="24"/>
          <w:szCs w:val="24"/>
        </w:rPr>
        <w:t> </w:t>
      </w:r>
      <w:r>
        <w:rPr>
          <w:rFonts w:hint="eastAsia" w:ascii="仿宋" w:hAnsi="仿宋" w:eastAsia="仿宋"/>
          <w:b/>
          <w:color w:val="000000"/>
          <w:sz w:val="24"/>
          <w:szCs w:val="24"/>
        </w:rPr>
        <w:t xml:space="preserve">    </w:t>
      </w:r>
      <w:r>
        <w:rPr>
          <w:rFonts w:hint="eastAsia" w:ascii="宋体" w:hAnsi="宋体" w:eastAsia="仿宋"/>
          <w:b/>
          <w:color w:val="000000"/>
          <w:sz w:val="24"/>
          <w:szCs w:val="24"/>
        </w:rPr>
        <w:t> </w:t>
      </w:r>
      <w:r>
        <w:rPr>
          <w:rFonts w:hint="eastAsia" w:ascii="仿宋" w:hAnsi="仿宋" w:eastAsia="仿宋"/>
          <w:b/>
          <w:color w:val="000000"/>
          <w:sz w:val="24"/>
          <w:szCs w:val="24"/>
        </w:rPr>
        <w:t xml:space="preserve"> </w:t>
      </w:r>
      <w:r>
        <w:rPr>
          <w:rFonts w:hint="eastAsia" w:ascii="宋体" w:hAnsi="宋体" w:eastAsia="仿宋"/>
          <w:b/>
          <w:color w:val="000000"/>
          <w:sz w:val="24"/>
          <w:szCs w:val="24"/>
        </w:rPr>
        <w:t> </w:t>
      </w:r>
      <w:r>
        <w:rPr>
          <w:rFonts w:hint="eastAsia" w:ascii="仿宋" w:hAnsi="仿宋" w:eastAsia="仿宋"/>
          <w:b/>
          <w:color w:val="000000"/>
          <w:sz w:val="24"/>
          <w:szCs w:val="24"/>
        </w:rPr>
        <w:t xml:space="preserve"> </w:t>
      </w:r>
      <w:r>
        <w:rPr>
          <w:rFonts w:hint="eastAsia" w:ascii="宋体" w:hAnsi="宋体" w:eastAsia="仿宋"/>
          <w:b/>
          <w:color w:val="000000"/>
          <w:sz w:val="24"/>
          <w:szCs w:val="24"/>
        </w:rPr>
        <w:t> </w:t>
      </w:r>
      <w:r>
        <w:rPr>
          <w:rFonts w:hint="eastAsia" w:ascii="仿宋" w:hAnsi="仿宋" w:eastAsia="仿宋"/>
          <w:b/>
          <w:color w:val="000000"/>
          <w:sz w:val="24"/>
          <w:szCs w:val="24"/>
        </w:rPr>
        <w:t xml:space="preserve">  </w:t>
      </w:r>
      <w:r>
        <w:rPr>
          <w:rFonts w:hint="eastAsia" w:ascii="宋体" w:hAnsi="宋体" w:eastAsia="仿宋"/>
          <w:b/>
          <w:color w:val="000000"/>
          <w:sz w:val="24"/>
          <w:szCs w:val="24"/>
        </w:rPr>
        <w:t xml:space="preserve">       </w:t>
      </w:r>
      <w:r>
        <w:rPr>
          <w:rFonts w:hint="eastAsia" w:ascii="仿宋" w:hAnsi="仿宋" w:eastAsia="仿宋"/>
          <w:b/>
          <w:color w:val="000000"/>
          <w:sz w:val="24"/>
          <w:szCs w:val="24"/>
        </w:rPr>
        <w:t>2021年6月30日</w:t>
      </w:r>
    </w:p>
    <w:p>
      <w:pPr>
        <w:pStyle w:val="9"/>
        <w:ind w:firstLine="560" w:firstLineChars="200"/>
        <w:rPr>
          <w:rFonts w:ascii="仿宋" w:hAnsi="仿宋" w:eastAsia="仿宋"/>
          <w:sz w:val="28"/>
          <w:szCs w:val="28"/>
        </w:rPr>
      </w:pPr>
      <w:r>
        <w:rPr>
          <w:rFonts w:hint="eastAsia" w:ascii="仿宋" w:hAnsi="仿宋" w:eastAsia="仿宋"/>
          <w:sz w:val="28"/>
          <w:szCs w:val="28"/>
        </w:rPr>
        <w:t xml:space="preserve">          </w:t>
      </w:r>
    </w:p>
    <w:p>
      <w:pPr>
        <w:pStyle w:val="9"/>
        <w:ind w:firstLine="6160" w:firstLineChars="2200"/>
        <w:rPr>
          <w:rFonts w:ascii="仿宋" w:hAnsi="仿宋" w:eastAsia="仿宋"/>
          <w:sz w:val="28"/>
          <w:szCs w:val="28"/>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6338"/>
    </w:sdtPr>
    <w:sdtContent>
      <w:p>
        <w:pPr>
          <w:pStyle w:val="3"/>
          <w:jc w:val="right"/>
        </w:pPr>
        <w:r>
          <w:fldChar w:fldCharType="begin"/>
        </w:r>
        <w:r>
          <w:instrText xml:space="preserve"> PAGE   \* MERGEFORMAT </w:instrText>
        </w:r>
        <w:r>
          <w:fldChar w:fldCharType="separate"/>
        </w:r>
        <w:r>
          <w:rPr>
            <w:lang w:val="zh-CN"/>
          </w:rPr>
          <w:t>9</w:t>
        </w:r>
        <w:r>
          <w:rPr>
            <w:lang w:val="zh-CN"/>
          </w:rP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F7C051"/>
    <w:multiLevelType w:val="singleLevel"/>
    <w:tmpl w:val="44F7C05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C479B"/>
    <w:rsid w:val="0000264D"/>
    <w:rsid w:val="0000343D"/>
    <w:rsid w:val="000110F3"/>
    <w:rsid w:val="00021E9D"/>
    <w:rsid w:val="0003058D"/>
    <w:rsid w:val="00030F7E"/>
    <w:rsid w:val="00031179"/>
    <w:rsid w:val="00032F35"/>
    <w:rsid w:val="0003637A"/>
    <w:rsid w:val="00040291"/>
    <w:rsid w:val="00041BB4"/>
    <w:rsid w:val="000428A0"/>
    <w:rsid w:val="000441FB"/>
    <w:rsid w:val="0005247B"/>
    <w:rsid w:val="00055BE7"/>
    <w:rsid w:val="00056575"/>
    <w:rsid w:val="00057A73"/>
    <w:rsid w:val="000614D9"/>
    <w:rsid w:val="0006206C"/>
    <w:rsid w:val="0006644C"/>
    <w:rsid w:val="000745F0"/>
    <w:rsid w:val="0007771E"/>
    <w:rsid w:val="000851C9"/>
    <w:rsid w:val="000A0BDB"/>
    <w:rsid w:val="000A18BE"/>
    <w:rsid w:val="000A4C66"/>
    <w:rsid w:val="000A4E3A"/>
    <w:rsid w:val="000A5DD4"/>
    <w:rsid w:val="000A6563"/>
    <w:rsid w:val="000B740E"/>
    <w:rsid w:val="000C053C"/>
    <w:rsid w:val="000D4A77"/>
    <w:rsid w:val="000E740D"/>
    <w:rsid w:val="000F2944"/>
    <w:rsid w:val="000F3646"/>
    <w:rsid w:val="0010078E"/>
    <w:rsid w:val="00102017"/>
    <w:rsid w:val="001056E1"/>
    <w:rsid w:val="00112BD4"/>
    <w:rsid w:val="00112DDD"/>
    <w:rsid w:val="001135CD"/>
    <w:rsid w:val="001149EC"/>
    <w:rsid w:val="00121ED9"/>
    <w:rsid w:val="00122845"/>
    <w:rsid w:val="00123FDE"/>
    <w:rsid w:val="00124556"/>
    <w:rsid w:val="00125C2C"/>
    <w:rsid w:val="001301FA"/>
    <w:rsid w:val="001329C6"/>
    <w:rsid w:val="0013561B"/>
    <w:rsid w:val="0016457B"/>
    <w:rsid w:val="00177339"/>
    <w:rsid w:val="00182A3D"/>
    <w:rsid w:val="00184877"/>
    <w:rsid w:val="00185BA7"/>
    <w:rsid w:val="001871FE"/>
    <w:rsid w:val="00187994"/>
    <w:rsid w:val="001904B1"/>
    <w:rsid w:val="00190B4A"/>
    <w:rsid w:val="00191A60"/>
    <w:rsid w:val="00192988"/>
    <w:rsid w:val="001A0109"/>
    <w:rsid w:val="001A2989"/>
    <w:rsid w:val="001B4544"/>
    <w:rsid w:val="001C434E"/>
    <w:rsid w:val="001C4ABE"/>
    <w:rsid w:val="001C600F"/>
    <w:rsid w:val="001D1A63"/>
    <w:rsid w:val="001D3AC2"/>
    <w:rsid w:val="001D4FF3"/>
    <w:rsid w:val="001D542A"/>
    <w:rsid w:val="001D6D84"/>
    <w:rsid w:val="001E4D04"/>
    <w:rsid w:val="001F0CDB"/>
    <w:rsid w:val="001F7505"/>
    <w:rsid w:val="00202E2B"/>
    <w:rsid w:val="00210201"/>
    <w:rsid w:val="0021509E"/>
    <w:rsid w:val="002151F1"/>
    <w:rsid w:val="00216203"/>
    <w:rsid w:val="00216E3E"/>
    <w:rsid w:val="00221F38"/>
    <w:rsid w:val="00224132"/>
    <w:rsid w:val="00230310"/>
    <w:rsid w:val="00230A8B"/>
    <w:rsid w:val="00233143"/>
    <w:rsid w:val="002431DB"/>
    <w:rsid w:val="00243C69"/>
    <w:rsid w:val="00243ECA"/>
    <w:rsid w:val="00244CE9"/>
    <w:rsid w:val="00244F81"/>
    <w:rsid w:val="0024712A"/>
    <w:rsid w:val="00251AB6"/>
    <w:rsid w:val="00263A53"/>
    <w:rsid w:val="00265161"/>
    <w:rsid w:val="002655B3"/>
    <w:rsid w:val="00271322"/>
    <w:rsid w:val="00285B66"/>
    <w:rsid w:val="002868ED"/>
    <w:rsid w:val="0029383E"/>
    <w:rsid w:val="002959C7"/>
    <w:rsid w:val="00297D90"/>
    <w:rsid w:val="002A0A49"/>
    <w:rsid w:val="002A131F"/>
    <w:rsid w:val="002A5734"/>
    <w:rsid w:val="002B025D"/>
    <w:rsid w:val="002B4DDD"/>
    <w:rsid w:val="002B5A1D"/>
    <w:rsid w:val="002B6AAA"/>
    <w:rsid w:val="002B7167"/>
    <w:rsid w:val="002C23B0"/>
    <w:rsid w:val="002C2EDC"/>
    <w:rsid w:val="002C4C5D"/>
    <w:rsid w:val="002C5FB8"/>
    <w:rsid w:val="002C6FF0"/>
    <w:rsid w:val="002C71B4"/>
    <w:rsid w:val="002C7542"/>
    <w:rsid w:val="002D48EA"/>
    <w:rsid w:val="002E20D7"/>
    <w:rsid w:val="002E2948"/>
    <w:rsid w:val="002E5FE1"/>
    <w:rsid w:val="002E6B93"/>
    <w:rsid w:val="002E7983"/>
    <w:rsid w:val="002F004A"/>
    <w:rsid w:val="002F0C6E"/>
    <w:rsid w:val="002F2157"/>
    <w:rsid w:val="00304BBB"/>
    <w:rsid w:val="00304FCF"/>
    <w:rsid w:val="003236B9"/>
    <w:rsid w:val="00341CC6"/>
    <w:rsid w:val="00344374"/>
    <w:rsid w:val="00346D5A"/>
    <w:rsid w:val="00346F01"/>
    <w:rsid w:val="00352603"/>
    <w:rsid w:val="003548DD"/>
    <w:rsid w:val="003548E6"/>
    <w:rsid w:val="003567A9"/>
    <w:rsid w:val="00362F73"/>
    <w:rsid w:val="003751F4"/>
    <w:rsid w:val="00382315"/>
    <w:rsid w:val="00383F7D"/>
    <w:rsid w:val="00385750"/>
    <w:rsid w:val="00386DAC"/>
    <w:rsid w:val="00391986"/>
    <w:rsid w:val="00391AF2"/>
    <w:rsid w:val="003947C3"/>
    <w:rsid w:val="00396BA9"/>
    <w:rsid w:val="003A2DB5"/>
    <w:rsid w:val="003A6253"/>
    <w:rsid w:val="003A6B87"/>
    <w:rsid w:val="003A7FE8"/>
    <w:rsid w:val="003C675C"/>
    <w:rsid w:val="003D2251"/>
    <w:rsid w:val="003E074B"/>
    <w:rsid w:val="003E0D75"/>
    <w:rsid w:val="003E240D"/>
    <w:rsid w:val="003E7840"/>
    <w:rsid w:val="003F0093"/>
    <w:rsid w:val="003F5513"/>
    <w:rsid w:val="00403911"/>
    <w:rsid w:val="00406FD8"/>
    <w:rsid w:val="00414DC8"/>
    <w:rsid w:val="00415CFB"/>
    <w:rsid w:val="00417930"/>
    <w:rsid w:val="00421254"/>
    <w:rsid w:val="004259F6"/>
    <w:rsid w:val="004272F7"/>
    <w:rsid w:val="00433325"/>
    <w:rsid w:val="00436364"/>
    <w:rsid w:val="004375BE"/>
    <w:rsid w:val="00443FAD"/>
    <w:rsid w:val="004473F6"/>
    <w:rsid w:val="00450016"/>
    <w:rsid w:val="0045022D"/>
    <w:rsid w:val="00450CE4"/>
    <w:rsid w:val="00453E35"/>
    <w:rsid w:val="004553D1"/>
    <w:rsid w:val="00462447"/>
    <w:rsid w:val="00463F8F"/>
    <w:rsid w:val="00465C54"/>
    <w:rsid w:val="00473B88"/>
    <w:rsid w:val="0049114C"/>
    <w:rsid w:val="004A014B"/>
    <w:rsid w:val="004A06CC"/>
    <w:rsid w:val="004A2EE4"/>
    <w:rsid w:val="004B1088"/>
    <w:rsid w:val="004B41E6"/>
    <w:rsid w:val="004C0034"/>
    <w:rsid w:val="004C3CAC"/>
    <w:rsid w:val="004C40A0"/>
    <w:rsid w:val="004C4C94"/>
    <w:rsid w:val="004D52F7"/>
    <w:rsid w:val="004F0735"/>
    <w:rsid w:val="004F1790"/>
    <w:rsid w:val="004F46E8"/>
    <w:rsid w:val="004F570F"/>
    <w:rsid w:val="005017F9"/>
    <w:rsid w:val="0051059F"/>
    <w:rsid w:val="005176E4"/>
    <w:rsid w:val="005214AA"/>
    <w:rsid w:val="00534D39"/>
    <w:rsid w:val="00535A9D"/>
    <w:rsid w:val="00536F8E"/>
    <w:rsid w:val="005409FD"/>
    <w:rsid w:val="00541DA8"/>
    <w:rsid w:val="0054230D"/>
    <w:rsid w:val="005438C5"/>
    <w:rsid w:val="00543EFA"/>
    <w:rsid w:val="00546499"/>
    <w:rsid w:val="00553EB6"/>
    <w:rsid w:val="00557BBF"/>
    <w:rsid w:val="00557EBF"/>
    <w:rsid w:val="0057221F"/>
    <w:rsid w:val="00574177"/>
    <w:rsid w:val="005757BE"/>
    <w:rsid w:val="005774F3"/>
    <w:rsid w:val="00580B5F"/>
    <w:rsid w:val="0058174F"/>
    <w:rsid w:val="005854E2"/>
    <w:rsid w:val="00586B15"/>
    <w:rsid w:val="00590754"/>
    <w:rsid w:val="00590A8A"/>
    <w:rsid w:val="00590B26"/>
    <w:rsid w:val="0059179B"/>
    <w:rsid w:val="00592F7B"/>
    <w:rsid w:val="005A30FC"/>
    <w:rsid w:val="005A7B9A"/>
    <w:rsid w:val="005B2C7B"/>
    <w:rsid w:val="005B65EA"/>
    <w:rsid w:val="005C0116"/>
    <w:rsid w:val="005C523B"/>
    <w:rsid w:val="005D2489"/>
    <w:rsid w:val="005E177B"/>
    <w:rsid w:val="005E2594"/>
    <w:rsid w:val="005E5B9B"/>
    <w:rsid w:val="005F2FD6"/>
    <w:rsid w:val="005F4A11"/>
    <w:rsid w:val="005F59BA"/>
    <w:rsid w:val="005F74D8"/>
    <w:rsid w:val="005F778F"/>
    <w:rsid w:val="00600FEA"/>
    <w:rsid w:val="006017A2"/>
    <w:rsid w:val="00603E0F"/>
    <w:rsid w:val="00611A95"/>
    <w:rsid w:val="00623063"/>
    <w:rsid w:val="00623797"/>
    <w:rsid w:val="00624519"/>
    <w:rsid w:val="00626F7C"/>
    <w:rsid w:val="00626FB2"/>
    <w:rsid w:val="0063151F"/>
    <w:rsid w:val="00635166"/>
    <w:rsid w:val="00642CF5"/>
    <w:rsid w:val="006433BF"/>
    <w:rsid w:val="006445D1"/>
    <w:rsid w:val="00645B9D"/>
    <w:rsid w:val="00646243"/>
    <w:rsid w:val="00650573"/>
    <w:rsid w:val="00650F1A"/>
    <w:rsid w:val="006526EC"/>
    <w:rsid w:val="006535E4"/>
    <w:rsid w:val="00657E97"/>
    <w:rsid w:val="006616CF"/>
    <w:rsid w:val="00664EFD"/>
    <w:rsid w:val="00666AC2"/>
    <w:rsid w:val="006743B4"/>
    <w:rsid w:val="00674B59"/>
    <w:rsid w:val="00677E39"/>
    <w:rsid w:val="00680C69"/>
    <w:rsid w:val="006842B2"/>
    <w:rsid w:val="00686C63"/>
    <w:rsid w:val="006959D8"/>
    <w:rsid w:val="00697D68"/>
    <w:rsid w:val="006A48A6"/>
    <w:rsid w:val="006B1D2F"/>
    <w:rsid w:val="006B6886"/>
    <w:rsid w:val="006C06A3"/>
    <w:rsid w:val="006C0C7C"/>
    <w:rsid w:val="006C5ECB"/>
    <w:rsid w:val="006C6745"/>
    <w:rsid w:val="006D4726"/>
    <w:rsid w:val="006D47AD"/>
    <w:rsid w:val="006D7164"/>
    <w:rsid w:val="006E3F63"/>
    <w:rsid w:val="006E58E7"/>
    <w:rsid w:val="006E6895"/>
    <w:rsid w:val="006E715B"/>
    <w:rsid w:val="006F3207"/>
    <w:rsid w:val="006F5DB2"/>
    <w:rsid w:val="00702F04"/>
    <w:rsid w:val="00703A38"/>
    <w:rsid w:val="0070523C"/>
    <w:rsid w:val="0070704F"/>
    <w:rsid w:val="00711C90"/>
    <w:rsid w:val="007142A2"/>
    <w:rsid w:val="00716382"/>
    <w:rsid w:val="007217EF"/>
    <w:rsid w:val="007248E5"/>
    <w:rsid w:val="00725E36"/>
    <w:rsid w:val="00730DB4"/>
    <w:rsid w:val="00734D8D"/>
    <w:rsid w:val="00735E1D"/>
    <w:rsid w:val="00736D13"/>
    <w:rsid w:val="00741BB6"/>
    <w:rsid w:val="007424DE"/>
    <w:rsid w:val="00745812"/>
    <w:rsid w:val="00745FA3"/>
    <w:rsid w:val="007477A3"/>
    <w:rsid w:val="00750D8F"/>
    <w:rsid w:val="00753600"/>
    <w:rsid w:val="00755CAC"/>
    <w:rsid w:val="00762FF6"/>
    <w:rsid w:val="00765AE0"/>
    <w:rsid w:val="00767D39"/>
    <w:rsid w:val="007726CF"/>
    <w:rsid w:val="00785D60"/>
    <w:rsid w:val="00791649"/>
    <w:rsid w:val="007965A8"/>
    <w:rsid w:val="007A090B"/>
    <w:rsid w:val="007A44F7"/>
    <w:rsid w:val="007B056B"/>
    <w:rsid w:val="007B334A"/>
    <w:rsid w:val="007B5A93"/>
    <w:rsid w:val="007C0BF2"/>
    <w:rsid w:val="007C104E"/>
    <w:rsid w:val="007C27D2"/>
    <w:rsid w:val="007C479B"/>
    <w:rsid w:val="007C77D9"/>
    <w:rsid w:val="007D1AC6"/>
    <w:rsid w:val="007D5DBF"/>
    <w:rsid w:val="007E4AB3"/>
    <w:rsid w:val="007F02D9"/>
    <w:rsid w:val="007F0307"/>
    <w:rsid w:val="007F0D6F"/>
    <w:rsid w:val="007F2E9B"/>
    <w:rsid w:val="007F320C"/>
    <w:rsid w:val="00806E17"/>
    <w:rsid w:val="0081622A"/>
    <w:rsid w:val="00817C9C"/>
    <w:rsid w:val="00820206"/>
    <w:rsid w:val="008348D8"/>
    <w:rsid w:val="00836F94"/>
    <w:rsid w:val="008416C7"/>
    <w:rsid w:val="00842FC8"/>
    <w:rsid w:val="008476D9"/>
    <w:rsid w:val="00851A90"/>
    <w:rsid w:val="00861BE1"/>
    <w:rsid w:val="0087366C"/>
    <w:rsid w:val="00874248"/>
    <w:rsid w:val="0087566D"/>
    <w:rsid w:val="00876774"/>
    <w:rsid w:val="0088348C"/>
    <w:rsid w:val="00883C22"/>
    <w:rsid w:val="00885DDE"/>
    <w:rsid w:val="00891323"/>
    <w:rsid w:val="008A7875"/>
    <w:rsid w:val="008B3054"/>
    <w:rsid w:val="008B3D3F"/>
    <w:rsid w:val="008D22E5"/>
    <w:rsid w:val="008D2536"/>
    <w:rsid w:val="008E160B"/>
    <w:rsid w:val="008F0C15"/>
    <w:rsid w:val="008F7CD8"/>
    <w:rsid w:val="00901635"/>
    <w:rsid w:val="00901A6D"/>
    <w:rsid w:val="00902B42"/>
    <w:rsid w:val="00910AE2"/>
    <w:rsid w:val="00915F3C"/>
    <w:rsid w:val="0091605F"/>
    <w:rsid w:val="0091634E"/>
    <w:rsid w:val="00921536"/>
    <w:rsid w:val="00921C85"/>
    <w:rsid w:val="009252AC"/>
    <w:rsid w:val="00925343"/>
    <w:rsid w:val="00925764"/>
    <w:rsid w:val="00926E91"/>
    <w:rsid w:val="00927FC0"/>
    <w:rsid w:val="009301F9"/>
    <w:rsid w:val="00933F86"/>
    <w:rsid w:val="00935717"/>
    <w:rsid w:val="00942784"/>
    <w:rsid w:val="00944D1C"/>
    <w:rsid w:val="009465B3"/>
    <w:rsid w:val="00953DBF"/>
    <w:rsid w:val="00962585"/>
    <w:rsid w:val="00962838"/>
    <w:rsid w:val="00963633"/>
    <w:rsid w:val="00965CC2"/>
    <w:rsid w:val="00965E75"/>
    <w:rsid w:val="009836C5"/>
    <w:rsid w:val="00985A7B"/>
    <w:rsid w:val="00991346"/>
    <w:rsid w:val="0099373F"/>
    <w:rsid w:val="0099435F"/>
    <w:rsid w:val="009A1FDF"/>
    <w:rsid w:val="009B16F1"/>
    <w:rsid w:val="009B4ACB"/>
    <w:rsid w:val="009B4C35"/>
    <w:rsid w:val="009C4027"/>
    <w:rsid w:val="009C5240"/>
    <w:rsid w:val="009C6FE4"/>
    <w:rsid w:val="009E472B"/>
    <w:rsid w:val="009F1763"/>
    <w:rsid w:val="009F2A20"/>
    <w:rsid w:val="00A103EB"/>
    <w:rsid w:val="00A256B7"/>
    <w:rsid w:val="00A27551"/>
    <w:rsid w:val="00A317E9"/>
    <w:rsid w:val="00A31CAA"/>
    <w:rsid w:val="00A363E1"/>
    <w:rsid w:val="00A43ADB"/>
    <w:rsid w:val="00A458F9"/>
    <w:rsid w:val="00A6021B"/>
    <w:rsid w:val="00A618C2"/>
    <w:rsid w:val="00A72CAA"/>
    <w:rsid w:val="00A72E25"/>
    <w:rsid w:val="00A74491"/>
    <w:rsid w:val="00A745B3"/>
    <w:rsid w:val="00A77FF3"/>
    <w:rsid w:val="00A84E05"/>
    <w:rsid w:val="00A8553E"/>
    <w:rsid w:val="00A86152"/>
    <w:rsid w:val="00A966B2"/>
    <w:rsid w:val="00A96FEA"/>
    <w:rsid w:val="00AA32E9"/>
    <w:rsid w:val="00AA3B5C"/>
    <w:rsid w:val="00AA57E8"/>
    <w:rsid w:val="00AA7FFC"/>
    <w:rsid w:val="00AB6F8A"/>
    <w:rsid w:val="00AC08C6"/>
    <w:rsid w:val="00AC3004"/>
    <w:rsid w:val="00AC6E23"/>
    <w:rsid w:val="00AD3467"/>
    <w:rsid w:val="00AD4966"/>
    <w:rsid w:val="00AD6743"/>
    <w:rsid w:val="00AD75B9"/>
    <w:rsid w:val="00AE48AE"/>
    <w:rsid w:val="00AE5754"/>
    <w:rsid w:val="00AF6CD1"/>
    <w:rsid w:val="00B01687"/>
    <w:rsid w:val="00B01C90"/>
    <w:rsid w:val="00B11DBC"/>
    <w:rsid w:val="00B128F4"/>
    <w:rsid w:val="00B129D6"/>
    <w:rsid w:val="00B144F7"/>
    <w:rsid w:val="00B1503A"/>
    <w:rsid w:val="00B2396D"/>
    <w:rsid w:val="00B258F9"/>
    <w:rsid w:val="00B3109E"/>
    <w:rsid w:val="00B34A71"/>
    <w:rsid w:val="00B3502A"/>
    <w:rsid w:val="00B36345"/>
    <w:rsid w:val="00B40132"/>
    <w:rsid w:val="00B52AEA"/>
    <w:rsid w:val="00B5443A"/>
    <w:rsid w:val="00B61C92"/>
    <w:rsid w:val="00B63D16"/>
    <w:rsid w:val="00B64B5C"/>
    <w:rsid w:val="00B67558"/>
    <w:rsid w:val="00B70DE2"/>
    <w:rsid w:val="00B715F2"/>
    <w:rsid w:val="00B76A37"/>
    <w:rsid w:val="00B8094D"/>
    <w:rsid w:val="00B823C5"/>
    <w:rsid w:val="00B82C8E"/>
    <w:rsid w:val="00B83A19"/>
    <w:rsid w:val="00B94492"/>
    <w:rsid w:val="00B97601"/>
    <w:rsid w:val="00BA036E"/>
    <w:rsid w:val="00BA1B46"/>
    <w:rsid w:val="00BA2272"/>
    <w:rsid w:val="00BA25F3"/>
    <w:rsid w:val="00BA350F"/>
    <w:rsid w:val="00BA5C28"/>
    <w:rsid w:val="00BA5EB8"/>
    <w:rsid w:val="00BA6469"/>
    <w:rsid w:val="00BA7481"/>
    <w:rsid w:val="00BC0786"/>
    <w:rsid w:val="00BC2C85"/>
    <w:rsid w:val="00BC2EA5"/>
    <w:rsid w:val="00BC3078"/>
    <w:rsid w:val="00BC48A1"/>
    <w:rsid w:val="00BD3D86"/>
    <w:rsid w:val="00BD496F"/>
    <w:rsid w:val="00BE4B7D"/>
    <w:rsid w:val="00BE7358"/>
    <w:rsid w:val="00BF0045"/>
    <w:rsid w:val="00BF1C39"/>
    <w:rsid w:val="00BF4F8D"/>
    <w:rsid w:val="00BF74D2"/>
    <w:rsid w:val="00C2028A"/>
    <w:rsid w:val="00C214A4"/>
    <w:rsid w:val="00C24B84"/>
    <w:rsid w:val="00C31D03"/>
    <w:rsid w:val="00C34077"/>
    <w:rsid w:val="00C379F0"/>
    <w:rsid w:val="00C43F1A"/>
    <w:rsid w:val="00C47527"/>
    <w:rsid w:val="00C51065"/>
    <w:rsid w:val="00C5451A"/>
    <w:rsid w:val="00C600F2"/>
    <w:rsid w:val="00C625DB"/>
    <w:rsid w:val="00C74ADC"/>
    <w:rsid w:val="00C7652E"/>
    <w:rsid w:val="00C83B58"/>
    <w:rsid w:val="00C85346"/>
    <w:rsid w:val="00C8598E"/>
    <w:rsid w:val="00C93309"/>
    <w:rsid w:val="00C977E6"/>
    <w:rsid w:val="00CA1773"/>
    <w:rsid w:val="00CB7BFA"/>
    <w:rsid w:val="00CC04E2"/>
    <w:rsid w:val="00CC327B"/>
    <w:rsid w:val="00CC6F0D"/>
    <w:rsid w:val="00CD281F"/>
    <w:rsid w:val="00CD43E3"/>
    <w:rsid w:val="00CF4023"/>
    <w:rsid w:val="00D0240F"/>
    <w:rsid w:val="00D026D1"/>
    <w:rsid w:val="00D03BC8"/>
    <w:rsid w:val="00D12DD8"/>
    <w:rsid w:val="00D13172"/>
    <w:rsid w:val="00D157D1"/>
    <w:rsid w:val="00D15FCC"/>
    <w:rsid w:val="00D413C9"/>
    <w:rsid w:val="00D46045"/>
    <w:rsid w:val="00D476BC"/>
    <w:rsid w:val="00D533AB"/>
    <w:rsid w:val="00D53B10"/>
    <w:rsid w:val="00D55C23"/>
    <w:rsid w:val="00D6000C"/>
    <w:rsid w:val="00D60319"/>
    <w:rsid w:val="00D62CA4"/>
    <w:rsid w:val="00D71666"/>
    <w:rsid w:val="00D71EA9"/>
    <w:rsid w:val="00D75290"/>
    <w:rsid w:val="00D759FF"/>
    <w:rsid w:val="00D76508"/>
    <w:rsid w:val="00D82A23"/>
    <w:rsid w:val="00D85FBC"/>
    <w:rsid w:val="00D96BC5"/>
    <w:rsid w:val="00D97905"/>
    <w:rsid w:val="00DA4C1E"/>
    <w:rsid w:val="00DA56A6"/>
    <w:rsid w:val="00DB3493"/>
    <w:rsid w:val="00DB3A8A"/>
    <w:rsid w:val="00DB3CC6"/>
    <w:rsid w:val="00DF0901"/>
    <w:rsid w:val="00DF4B2C"/>
    <w:rsid w:val="00DF5D2E"/>
    <w:rsid w:val="00DF5E1F"/>
    <w:rsid w:val="00E015E9"/>
    <w:rsid w:val="00E02C1F"/>
    <w:rsid w:val="00E03242"/>
    <w:rsid w:val="00E03BB4"/>
    <w:rsid w:val="00E07251"/>
    <w:rsid w:val="00E07418"/>
    <w:rsid w:val="00E14998"/>
    <w:rsid w:val="00E20FB3"/>
    <w:rsid w:val="00E2302E"/>
    <w:rsid w:val="00E25418"/>
    <w:rsid w:val="00E25B88"/>
    <w:rsid w:val="00E27D84"/>
    <w:rsid w:val="00E31E5E"/>
    <w:rsid w:val="00E3253A"/>
    <w:rsid w:val="00E32A90"/>
    <w:rsid w:val="00E370BA"/>
    <w:rsid w:val="00E379E6"/>
    <w:rsid w:val="00E37FF7"/>
    <w:rsid w:val="00E416F6"/>
    <w:rsid w:val="00E5154B"/>
    <w:rsid w:val="00E52DA4"/>
    <w:rsid w:val="00E608E7"/>
    <w:rsid w:val="00E61C8A"/>
    <w:rsid w:val="00E624D2"/>
    <w:rsid w:val="00E625CC"/>
    <w:rsid w:val="00E658EA"/>
    <w:rsid w:val="00E707AC"/>
    <w:rsid w:val="00E70BBA"/>
    <w:rsid w:val="00E735F5"/>
    <w:rsid w:val="00E86A52"/>
    <w:rsid w:val="00E90308"/>
    <w:rsid w:val="00EA505F"/>
    <w:rsid w:val="00EA5633"/>
    <w:rsid w:val="00EA7D62"/>
    <w:rsid w:val="00EB0250"/>
    <w:rsid w:val="00EC18A6"/>
    <w:rsid w:val="00EC4235"/>
    <w:rsid w:val="00EC5960"/>
    <w:rsid w:val="00ED3121"/>
    <w:rsid w:val="00ED5AEB"/>
    <w:rsid w:val="00ED6EC1"/>
    <w:rsid w:val="00EF2C50"/>
    <w:rsid w:val="00F05AF2"/>
    <w:rsid w:val="00F06395"/>
    <w:rsid w:val="00F06EDC"/>
    <w:rsid w:val="00F11F5A"/>
    <w:rsid w:val="00F127F0"/>
    <w:rsid w:val="00F219B3"/>
    <w:rsid w:val="00F21D7C"/>
    <w:rsid w:val="00F23AF7"/>
    <w:rsid w:val="00F2548F"/>
    <w:rsid w:val="00F30930"/>
    <w:rsid w:val="00F40240"/>
    <w:rsid w:val="00F4242D"/>
    <w:rsid w:val="00F42AF0"/>
    <w:rsid w:val="00F42DBC"/>
    <w:rsid w:val="00F4550E"/>
    <w:rsid w:val="00F53ED0"/>
    <w:rsid w:val="00F631EF"/>
    <w:rsid w:val="00F65535"/>
    <w:rsid w:val="00F6701E"/>
    <w:rsid w:val="00F70C99"/>
    <w:rsid w:val="00F850E4"/>
    <w:rsid w:val="00F86DCE"/>
    <w:rsid w:val="00F91A10"/>
    <w:rsid w:val="00FA284C"/>
    <w:rsid w:val="00FA3DF8"/>
    <w:rsid w:val="00FA421C"/>
    <w:rsid w:val="00FA6BED"/>
    <w:rsid w:val="00FA6E82"/>
    <w:rsid w:val="00FB15D6"/>
    <w:rsid w:val="00FB2EA5"/>
    <w:rsid w:val="00FC3A3B"/>
    <w:rsid w:val="00FD015A"/>
    <w:rsid w:val="00FD484E"/>
    <w:rsid w:val="00FE3C23"/>
    <w:rsid w:val="00FF5F95"/>
    <w:rsid w:val="073C4B29"/>
    <w:rsid w:val="07C7099F"/>
    <w:rsid w:val="0F80391C"/>
    <w:rsid w:val="139E6CC7"/>
    <w:rsid w:val="152E5EEC"/>
    <w:rsid w:val="1B062C36"/>
    <w:rsid w:val="1FF84EF2"/>
    <w:rsid w:val="2719110D"/>
    <w:rsid w:val="27AF3AD2"/>
    <w:rsid w:val="2E7D7994"/>
    <w:rsid w:val="31782275"/>
    <w:rsid w:val="32C60B01"/>
    <w:rsid w:val="345D27B8"/>
    <w:rsid w:val="37603D5F"/>
    <w:rsid w:val="37885DF4"/>
    <w:rsid w:val="3EA62646"/>
    <w:rsid w:val="3F357C88"/>
    <w:rsid w:val="420F1B9A"/>
    <w:rsid w:val="4534029A"/>
    <w:rsid w:val="459C7A86"/>
    <w:rsid w:val="47B05F68"/>
    <w:rsid w:val="480C59EA"/>
    <w:rsid w:val="49AC4572"/>
    <w:rsid w:val="4A3E2980"/>
    <w:rsid w:val="4AFA0A23"/>
    <w:rsid w:val="4B3D7CFC"/>
    <w:rsid w:val="4BB22F56"/>
    <w:rsid w:val="50977AC5"/>
    <w:rsid w:val="51823560"/>
    <w:rsid w:val="523F7BDA"/>
    <w:rsid w:val="53C10EEE"/>
    <w:rsid w:val="53E12E5C"/>
    <w:rsid w:val="54E973C8"/>
    <w:rsid w:val="560866F6"/>
    <w:rsid w:val="56ED6BDD"/>
    <w:rsid w:val="577E2B19"/>
    <w:rsid w:val="5C481B94"/>
    <w:rsid w:val="5EB11C0D"/>
    <w:rsid w:val="6BDE21B5"/>
    <w:rsid w:val="705A7861"/>
    <w:rsid w:val="72A03FF2"/>
    <w:rsid w:val="74CE4818"/>
    <w:rsid w:val="778A683F"/>
    <w:rsid w:val="7A385951"/>
    <w:rsid w:val="7AEA72B1"/>
    <w:rsid w:val="7DEF7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40" w:lineRule="exact"/>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pPr>
      <w:spacing w:line="240" w:lineRule="auto"/>
    </w:pPr>
    <w:rPr>
      <w:sz w:val="18"/>
      <w:szCs w:val="18"/>
    </w:rPr>
  </w:style>
  <w:style w:type="paragraph" w:styleId="3">
    <w:name w:val="footer"/>
    <w:basedOn w:val="1"/>
    <w:link w:val="12"/>
    <w:unhideWhenUsed/>
    <w:qFormat/>
    <w:uiPriority w:val="99"/>
    <w:pPr>
      <w:tabs>
        <w:tab w:val="center" w:pos="4153"/>
        <w:tab w:val="right" w:pos="8306"/>
      </w:tabs>
      <w:snapToGrid w:val="0"/>
      <w:spacing w:line="240" w:lineRule="atLeas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unhideWhenUsed/>
    <w:qFormat/>
    <w:uiPriority w:val="99"/>
    <w:pPr>
      <w:spacing w:before="100" w:beforeAutospacing="1" w:after="100" w:afterAutospacing="1"/>
    </w:pPr>
    <w:rPr>
      <w:rFonts w:ascii="宋体" w:hAnsi="宋体" w:eastAsia="宋体" w:cs="宋体"/>
      <w:kern w:val="0"/>
      <w:sz w:val="24"/>
      <w:szCs w:val="24"/>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No Spacing"/>
    <w:qFormat/>
    <w:uiPriority w:val="1"/>
    <w:pPr>
      <w:widowControl w:val="0"/>
      <w:spacing w:line="540" w:lineRule="exact"/>
      <w:jc w:val="both"/>
    </w:pPr>
    <w:rPr>
      <w:rFonts w:asciiTheme="minorHAnsi" w:hAnsiTheme="minorHAnsi" w:eastAsiaTheme="minorEastAsia" w:cstheme="minorBidi"/>
      <w:kern w:val="2"/>
      <w:sz w:val="21"/>
      <w:szCs w:val="22"/>
      <w:lang w:val="en-US" w:eastAsia="zh-CN" w:bidi="ar-SA"/>
    </w:rPr>
  </w:style>
  <w:style w:type="paragraph" w:styleId="10">
    <w:name w:val="List Paragraph"/>
    <w:basedOn w:val="1"/>
    <w:qFormat/>
    <w:uiPriority w:val="34"/>
    <w:pPr>
      <w:ind w:firstLine="420" w:firstLineChars="200"/>
    </w:pPr>
  </w:style>
  <w:style w:type="character" w:customStyle="1" w:styleId="11">
    <w:name w:val="页眉 Char"/>
    <w:basedOn w:val="8"/>
    <w:link w:val="4"/>
    <w:semiHidden/>
    <w:qFormat/>
    <w:uiPriority w:val="99"/>
    <w:rPr>
      <w:sz w:val="18"/>
      <w:szCs w:val="18"/>
    </w:rPr>
  </w:style>
  <w:style w:type="character" w:customStyle="1" w:styleId="12">
    <w:name w:val="页脚 Char"/>
    <w:basedOn w:val="8"/>
    <w:link w:val="3"/>
    <w:qFormat/>
    <w:uiPriority w:val="99"/>
    <w:rPr>
      <w:sz w:val="18"/>
      <w:szCs w:val="18"/>
    </w:rPr>
  </w:style>
  <w:style w:type="paragraph" w:customStyle="1" w:styleId="13">
    <w:name w:val="p0"/>
    <w:basedOn w:val="1"/>
    <w:qFormat/>
    <w:uiPriority w:val="0"/>
    <w:pPr>
      <w:spacing w:before="100" w:beforeAutospacing="1" w:after="100" w:afterAutospacing="1" w:line="240" w:lineRule="auto"/>
    </w:pPr>
    <w:rPr>
      <w:rFonts w:ascii="宋体" w:hAnsi="宋体" w:eastAsia="宋体" w:cs="宋体"/>
      <w:color w:val="000000"/>
      <w:kern w:val="0"/>
      <w:sz w:val="18"/>
      <w:szCs w:val="18"/>
    </w:rPr>
  </w:style>
  <w:style w:type="character" w:customStyle="1" w:styleId="14">
    <w:name w:val="批注框文本 Char"/>
    <w:basedOn w:val="8"/>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BDF845-5F05-482A-A7BF-E70074BD34FF}">
  <ds:schemaRefs/>
</ds:datastoreItem>
</file>

<file path=docProps/app.xml><?xml version="1.0" encoding="utf-8"?>
<Properties xmlns="http://schemas.openxmlformats.org/officeDocument/2006/extended-properties" xmlns:vt="http://schemas.openxmlformats.org/officeDocument/2006/docPropsVTypes">
  <Template>Normal</Template>
  <Pages>10</Pages>
  <Words>866</Words>
  <Characters>4938</Characters>
  <Lines>41</Lines>
  <Paragraphs>11</Paragraphs>
  <TotalTime>1326</TotalTime>
  <ScaleCrop>false</ScaleCrop>
  <LinksUpToDate>false</LinksUpToDate>
  <CharactersWithSpaces>5793</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2019-06-06T07:34:00Z</dcterms:created>
  <dc:creator>Administrator</dc:creator>
  <cp:lastModifiedBy>Administrator</cp:lastModifiedBy>
  <cp:lastPrinted>2020-10-12T03:17:00Z</cp:lastPrinted>
  <dcterms:modified xsi:type="dcterms:W3CDTF">2021-09-07T08:48:20Z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4C9512A4E18B434F8F310BF44AEF8687</vt:lpwstr>
  </property>
</Properties>
</file>