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</w:p>
    <w:p>
      <w:pPr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南县2020年渔政执法经费</w:t>
      </w:r>
    </w:p>
    <w:p>
      <w:pPr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支出绩效评价报告</w:t>
      </w:r>
    </w:p>
    <w:p>
      <w:pPr>
        <w:pStyle w:val="4"/>
        <w:ind w:firstLine="723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南县农业综合行政执法大队</w:t>
      </w:r>
    </w:p>
    <w:p>
      <w:pPr>
        <w:pStyle w:val="4"/>
        <w:ind w:firstLine="723"/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（2021年6月3日）</w:t>
      </w:r>
    </w:p>
    <w:p>
      <w:pPr>
        <w:ind w:firstLine="640"/>
        <w:rPr>
          <w:rFonts w:ascii="Times New Roman" w:hAnsi="Times New Roman"/>
          <w:szCs w:val="24"/>
        </w:rPr>
      </w:pPr>
    </w:p>
    <w:p>
      <w:pPr>
        <w:ind w:firstLine="64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为</w:t>
      </w:r>
      <w:r>
        <w:rPr>
          <w:rFonts w:ascii="Times New Roman" w:hAnsi="Times New Roman"/>
          <w:szCs w:val="24"/>
        </w:rPr>
        <w:t>进一步</w:t>
      </w:r>
      <w:r>
        <w:rPr>
          <w:rFonts w:hint="eastAsia" w:ascii="Times New Roman" w:hAnsi="Times New Roman"/>
          <w:szCs w:val="24"/>
        </w:rPr>
        <w:t>确保我县渔业渔政执法健康有序</w:t>
      </w:r>
      <w:r>
        <w:rPr>
          <w:rFonts w:ascii="Times New Roman" w:hAnsi="Times New Roman"/>
          <w:szCs w:val="24"/>
        </w:rPr>
        <w:t>发展，</w:t>
      </w:r>
      <w:r>
        <w:rPr>
          <w:rFonts w:hint="eastAsia" w:ascii="Times New Roman" w:hAnsi="Times New Roman"/>
          <w:szCs w:val="24"/>
        </w:rPr>
        <w:t>完</w:t>
      </w:r>
      <w:r>
        <w:rPr>
          <w:rFonts w:ascii="Times New Roman" w:hAnsi="Times New Roman"/>
          <w:szCs w:val="24"/>
        </w:rPr>
        <w:t>善</w:t>
      </w:r>
      <w:r>
        <w:rPr>
          <w:rFonts w:hint="eastAsia" w:ascii="Times New Roman" w:hAnsi="Times New Roman"/>
          <w:szCs w:val="24"/>
        </w:rPr>
        <w:t>农业行政综合执法体系</w:t>
      </w:r>
      <w:r>
        <w:rPr>
          <w:rFonts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加强渔政执法能力建设</w:t>
      </w:r>
      <w:r>
        <w:rPr>
          <w:rFonts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根据县财政局2020年部门预算单位经费安排，特实施本项</w:t>
      </w:r>
      <w:r>
        <w:rPr>
          <w:rFonts w:ascii="Times New Roman" w:hAnsi="Times New Roman"/>
          <w:szCs w:val="24"/>
        </w:rPr>
        <w:t>目。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一、专项基本情况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（一）项目概况</w:t>
      </w:r>
    </w:p>
    <w:p>
      <w:pPr>
        <w:ind w:firstLine="643"/>
        <w:jc w:val="left"/>
        <w:rPr>
          <w:rFonts w:ascii="仿宋" w:hAnsi="仿宋" w:eastAsia="仿宋"/>
          <w:sz w:val="28"/>
          <w:szCs w:val="28"/>
        </w:rPr>
      </w:pPr>
      <w:r>
        <w:rPr>
          <w:rStyle w:val="15"/>
          <w:rFonts w:hint="eastAsia"/>
        </w:rPr>
        <w:t>1、项目背景。</w:t>
      </w:r>
      <w:r>
        <w:rPr>
          <w:rFonts w:hint="eastAsia" w:ascii="仿宋_GB2312" w:hAnsi="仿宋"/>
          <w:szCs w:val="32"/>
        </w:rPr>
        <w:t>南县农业综合行政执法大队成立于2019年5月,现有农业综合执法人员38人,负责南县农资打假、农产品质量安全、耕地质量管理、动物防疫、生猪屠宰、渔政、农机等农业综合执法工作。</w:t>
      </w:r>
      <w:r>
        <w:rPr>
          <w:rFonts w:hint="eastAsia" w:ascii="仿宋" w:hAnsi="仿宋" w:eastAsia="仿宋"/>
          <w:sz w:val="28"/>
          <w:szCs w:val="28"/>
        </w:rPr>
        <w:t>南县地理位置位于洞庭湖腹地，县域内沟渠纵横，渔业资源丰富，素有“鱼米之乡”美誉。为加强渔政监管执法，确保水生生物多样性，有效养护水生生物资源。</w:t>
      </w:r>
    </w:p>
    <w:p>
      <w:pPr>
        <w:widowControl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项目内容：根据部门预算内容，项目支持方向为：渔政执法经费。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643"/>
        <w:jc w:val="left"/>
        <w:rPr>
          <w:rFonts w:ascii="仿宋_GB2312" w:hAnsi="仿宋"/>
          <w:szCs w:val="32"/>
        </w:rPr>
      </w:pPr>
      <w:r>
        <w:rPr>
          <w:rStyle w:val="15"/>
          <w:rFonts w:hint="eastAsia" w:cstheme="minorBidi"/>
        </w:rPr>
        <w:t>3、资金安排。</w:t>
      </w:r>
      <w:r>
        <w:rPr>
          <w:rFonts w:hint="eastAsia" w:ascii="仿宋_GB2312" w:hAnsi="仿宋"/>
          <w:szCs w:val="32"/>
        </w:rPr>
        <w:t>渔政执法经费共计6万元。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（二）专项实施情况</w:t>
      </w:r>
    </w:p>
    <w:p>
      <w:pPr>
        <w:ind w:firstLine="643"/>
      </w:pPr>
      <w:r>
        <w:rPr>
          <w:rFonts w:hint="eastAsia" w:ascii="Arial" w:hAnsi="Arial" w:eastAsia="仿宋"/>
          <w:b/>
        </w:rPr>
        <w:t>1、专项资金的组织实施。</w:t>
      </w:r>
      <w:r>
        <w:rPr>
          <w:rFonts w:hint="eastAsia"/>
        </w:rPr>
        <w:t>按照项目要求，县财政局和农业农村局成立了资金管理和绩效评价领导小组，保障了资金及时到位，强化了资金监督与核算，确保了项目工作的正常运行。</w:t>
      </w:r>
    </w:p>
    <w:p>
      <w:pPr>
        <w:ind w:firstLine="643"/>
      </w:pPr>
      <w:r>
        <w:rPr>
          <w:rFonts w:hint="eastAsia" w:ascii="Arial" w:hAnsi="Arial" w:eastAsia="仿宋"/>
          <w:b/>
        </w:rPr>
        <w:t>2、专项资金的管理。</w:t>
      </w:r>
      <w:r>
        <w:rPr>
          <w:rFonts w:hint="eastAsia"/>
        </w:rPr>
        <w:t>按照专项文件要求，由县农业农村局和财政局共同加强资金的使用管理，规范了资金支付审核审批程序，由县财政局拨付专项资金，</w:t>
      </w:r>
      <w:r>
        <w:rPr>
          <w:rFonts w:hint="eastAsia" w:ascii="仿宋_GB2312" w:hAnsi="仿宋"/>
          <w:szCs w:val="32"/>
        </w:rPr>
        <w:t>县农业综合行政执法大队</w:t>
      </w:r>
      <w:r>
        <w:rPr>
          <w:rFonts w:hint="eastAsia"/>
        </w:rPr>
        <w:t>具体实施，确保了设备购置手续齐全、票据齐全、项目落地。</w:t>
      </w:r>
    </w:p>
    <w:p>
      <w:pPr>
        <w:ind w:firstLine="643"/>
      </w:pPr>
      <w:r>
        <w:rPr>
          <w:rFonts w:hint="eastAsia" w:ascii="Arial" w:hAnsi="Arial" w:eastAsia="仿宋"/>
          <w:b/>
        </w:rPr>
        <w:t>3、专项资金的使用。</w:t>
      </w:r>
      <w:r>
        <w:rPr>
          <w:rFonts w:hint="eastAsia"/>
        </w:rPr>
        <w:t>购置渔政执法装备及办公费用，包括4台电脑18600元，办公耗材2998元；渔政执法宣传经费18000元；船艇燃油费20533元，共计60131元；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二、绩效评价工作开展情况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（一）绩效评价的目的</w:t>
      </w:r>
    </w:p>
    <w:p>
      <w:pPr>
        <w:ind w:firstLine="640"/>
      </w:pPr>
      <w:r>
        <w:t>根据湖南省财政厅、农业农村厅《关于开展2020年度中央对地方转移支付资金、省级部门整体支出和省级专项资金绩效自评工作的通知》要求，为进一步规范财政资金管理，强化绩效和责任意识，</w:t>
      </w:r>
      <w:r>
        <w:rPr>
          <w:rFonts w:hint="eastAsia" w:ascii="仿宋_GB2312" w:hAnsi="仿宋"/>
          <w:szCs w:val="32"/>
        </w:rPr>
        <w:t>改善农业综合行政执法条件，提高农业综合行政执法效率</w:t>
      </w:r>
      <w:r>
        <w:t>，总结专项资金管理经验，提高专项资金使用效率，发现资金管理中存在的问题，加强财政支出的规范化管理，健全和完善支出项目和资金使用管理办法。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（二）绩效评价工作过程</w:t>
      </w:r>
    </w:p>
    <w:p>
      <w:pPr>
        <w:ind w:firstLine="643"/>
      </w:pPr>
      <w:r>
        <w:rPr>
          <w:rStyle w:val="15"/>
        </w:rPr>
        <w:t>1、加强了组织领导</w:t>
      </w:r>
      <w:r>
        <w:rPr>
          <w:rStyle w:val="15"/>
          <w:rFonts w:hint="eastAsia"/>
        </w:rPr>
        <w:t>。</w:t>
      </w:r>
      <w:r>
        <w:t>县农业农村局成立了以分管副局长高建彬任组长，</w:t>
      </w:r>
      <w:r>
        <w:rPr>
          <w:rFonts w:hint="eastAsia" w:ascii="仿宋_GB2312" w:hAnsi="仿宋"/>
          <w:szCs w:val="32"/>
        </w:rPr>
        <w:t>农业综合行政执法大队大队长岳学超</w:t>
      </w:r>
      <w:r>
        <w:t>，</w:t>
      </w:r>
      <w:r>
        <w:rPr>
          <w:rFonts w:hint="eastAsia"/>
        </w:rPr>
        <w:t>副大队长刘建平</w:t>
      </w:r>
      <w:r>
        <w:t>为成员的专项资金管理与绩效评价领导小组。</w:t>
      </w:r>
      <w:r>
        <w:rPr>
          <w:rFonts w:hint="eastAsia"/>
        </w:rPr>
        <w:t>岳学超</w:t>
      </w:r>
      <w:r>
        <w:t>兼任办公室主任，具体负责专项资金的使用与效益评估。</w:t>
      </w:r>
    </w:p>
    <w:p>
      <w:pPr>
        <w:ind w:firstLine="643"/>
      </w:pPr>
      <w:r>
        <w:rPr>
          <w:rStyle w:val="15"/>
          <w:rFonts w:cstheme="minorBidi"/>
        </w:rPr>
        <w:t>2、强化了资金监督和核算</w:t>
      </w:r>
      <w:r>
        <w:rPr>
          <w:rFonts w:hint="eastAsia"/>
        </w:rPr>
        <w:t>。</w:t>
      </w:r>
      <w:r>
        <w:t>按照专项文件要求，领导小组加强了资金的使用管理，规范了资金支付审核审批程序，杜绝挤占、截留、挪用资金，严禁虚列和超标准、超范围使用资金，充分发挥了专项资金的使用效益。按照行政事业单位会计管理制度要求，专项资金全部纳入部门预算统一核算，县农业农村局和财政局紧密配合，严格项目资金入账核算手续，所有发票、收据、附件等均在财务做账，保障了资金核算的真实性、合理性和合法性。</w:t>
      </w:r>
    </w:p>
    <w:p>
      <w:pPr>
        <w:ind w:firstLine="643"/>
      </w:pPr>
      <w:r>
        <w:rPr>
          <w:rStyle w:val="15"/>
          <w:rFonts w:cstheme="minorBidi"/>
        </w:rPr>
        <w:t>3、确定了专项资金使用方案</w:t>
      </w:r>
      <w:r>
        <w:rPr>
          <w:rStyle w:val="15"/>
          <w:rFonts w:hint="eastAsia" w:cstheme="minorBidi"/>
        </w:rPr>
        <w:t>。</w:t>
      </w:r>
      <w:r>
        <w:rPr>
          <w:rFonts w:hint="eastAsia"/>
        </w:rPr>
        <w:t>县</w:t>
      </w:r>
      <w:r>
        <w:rPr>
          <w:rFonts w:hint="eastAsia" w:ascii="仿宋_GB2312" w:hAnsi="仿宋"/>
          <w:szCs w:val="32"/>
        </w:rPr>
        <w:t>农业综合行政执法大队</w:t>
      </w:r>
      <w:r>
        <w:t>对拨付的</w:t>
      </w:r>
      <w:r>
        <w:rPr>
          <w:rFonts w:hint="eastAsia"/>
        </w:rPr>
        <w:t>6</w:t>
      </w:r>
      <w:r>
        <w:t>万元专项资金认真分解，制定了</w:t>
      </w:r>
      <w:r>
        <w:rPr>
          <w:rFonts w:hint="eastAsia"/>
        </w:rPr>
        <w:t>装备购置方案</w:t>
      </w:r>
      <w:r>
        <w:t>，对每笔开支进行了审核和规范入账管理</w:t>
      </w:r>
      <w:r>
        <w:rPr>
          <w:rFonts w:hint="eastAsia"/>
        </w:rPr>
        <w:t>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三、主要绩效及评价结论</w:t>
      </w:r>
    </w:p>
    <w:p>
      <w:pPr>
        <w:pStyle w:val="4"/>
        <w:ind w:firstLine="643"/>
      </w:pPr>
      <w:r>
        <w:rPr>
          <w:rFonts w:hint="eastAsia"/>
        </w:rPr>
        <w:t>（一）基础数据达到指标</w:t>
      </w:r>
    </w:p>
    <w:p>
      <w:pPr>
        <w:ind w:firstLine="643"/>
      </w:pPr>
      <w:r>
        <w:rPr>
          <w:rStyle w:val="15"/>
          <w:rFonts w:hint="eastAsia"/>
        </w:rPr>
        <w:t>1、项目产出指标显著。</w:t>
      </w:r>
      <w:r>
        <w:t>按照项目绩效评价体系</w:t>
      </w:r>
      <w:r>
        <w:rPr>
          <w:rFonts w:hint="eastAsia"/>
        </w:rPr>
        <w:t>评价，主要产出指标达到项目目标。办公条件大大改善，提升了办案效率。年度资金年初预算数6万元，全年执行数6万元，资金执行率100%。</w:t>
      </w:r>
    </w:p>
    <w:p>
      <w:pPr>
        <w:widowControl/>
        <w:ind w:firstLine="643"/>
        <w:rPr>
          <w:rFonts w:ascii="仿宋" w:hAnsi="仿宋" w:eastAsia="仿宋"/>
          <w:sz w:val="28"/>
          <w:szCs w:val="28"/>
        </w:rPr>
      </w:pPr>
      <w:r>
        <w:rPr>
          <w:rStyle w:val="15"/>
          <w:rFonts w:hint="eastAsia"/>
        </w:rPr>
        <w:t>2、项目效益指标显著。</w:t>
      </w:r>
      <w:r>
        <w:t>按照项目绩效评价体系</w:t>
      </w:r>
      <w:r>
        <w:rPr>
          <w:rFonts w:hint="eastAsia"/>
        </w:rPr>
        <w:t>评价，专项的经济效益、社会效益和生态效益显著。</w:t>
      </w:r>
      <w:r>
        <w:rPr>
          <w:rFonts w:hint="eastAsia" w:ascii="仿宋" w:hAnsi="仿宋" w:eastAsia="仿宋"/>
          <w:sz w:val="28"/>
          <w:szCs w:val="28"/>
        </w:rPr>
        <w:t>我县共有公共水域</w:t>
      </w:r>
      <w:r>
        <w:rPr>
          <w:rFonts w:ascii="仿宋" w:hAnsi="仿宋" w:eastAsia="仿宋"/>
          <w:sz w:val="28"/>
          <w:szCs w:val="28"/>
        </w:rPr>
        <w:t>44.6</w:t>
      </w:r>
      <w:r>
        <w:rPr>
          <w:rFonts w:hint="eastAsia" w:ascii="仿宋" w:hAnsi="仿宋" w:eastAsia="仿宋"/>
          <w:sz w:val="28"/>
          <w:szCs w:val="28"/>
        </w:rPr>
        <w:t>万亩，其中天然水域</w:t>
      </w:r>
      <w:r>
        <w:rPr>
          <w:rFonts w:ascii="仿宋" w:hAnsi="仿宋" w:eastAsia="仿宋"/>
          <w:sz w:val="28"/>
          <w:szCs w:val="28"/>
        </w:rPr>
        <w:t>22.4</w:t>
      </w:r>
      <w:r>
        <w:rPr>
          <w:rFonts w:hint="eastAsia" w:ascii="仿宋" w:hAnsi="仿宋" w:eastAsia="仿宋"/>
          <w:sz w:val="28"/>
          <w:szCs w:val="28"/>
        </w:rPr>
        <w:t>万亩，垸内沟渠纵横，非法捕捞现象时有发生，特别是夜晚和交界水域，通过开展一系列的执法巡查和严厉打击，非法捕捞行为得到了有效遏制，电鱼、毒鱼、炸鱼等非法捕捞现象得到有效控制。</w:t>
      </w:r>
    </w:p>
    <w:p>
      <w:pPr>
        <w:ind w:firstLine="643"/>
      </w:pPr>
      <w:r>
        <w:rPr>
          <w:rStyle w:val="15"/>
          <w:rFonts w:hint="eastAsia"/>
        </w:rPr>
        <w:t>3、支持对象满意度指标达标。</w:t>
      </w:r>
      <w:r>
        <w:rPr>
          <w:rFonts w:hint="eastAsia"/>
        </w:rPr>
        <w:t>渔政执法装备建设支持对象满意度达到95%以上。</w:t>
      </w:r>
    </w:p>
    <w:p>
      <w:pPr>
        <w:pStyle w:val="4"/>
        <w:ind w:firstLine="643"/>
      </w:pPr>
      <w:r>
        <w:rPr>
          <w:rFonts w:hint="eastAsia"/>
        </w:rPr>
        <w:t>（二）主要经验及做法</w:t>
      </w:r>
    </w:p>
    <w:p>
      <w:pPr>
        <w:ind w:firstLine="640"/>
      </w:pPr>
      <w:r>
        <w:rPr>
          <w:rFonts w:hint="eastAsia"/>
        </w:rPr>
        <w:t>实施渔政执法装备建设项目，</w:t>
      </w:r>
      <w:r>
        <w:t>主要是围绕项目支持方向</w:t>
      </w:r>
      <w:r>
        <w:rPr>
          <w:rFonts w:hint="eastAsia"/>
        </w:rPr>
        <w:t>，购置相关渔政执法装备及服务，严把质量关，同时按照行政事业单位财务报账要求，严格报账程序，不挤占、截留和挪用项目资金，不虚列、超标、超范围使用资金，按质按量完成项目任务。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四、存在的问题</w:t>
      </w:r>
      <w:r>
        <w:rPr>
          <w:rFonts w:hint="eastAsia" w:ascii="Times New Roman" w:hAnsi="Times New Roman" w:eastAsia="黑体"/>
          <w:szCs w:val="32"/>
        </w:rPr>
        <w:t>分析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针对</w:t>
      </w:r>
      <w:r>
        <w:rPr>
          <w:rFonts w:hint="eastAsia" w:ascii="仿宋_GB2312" w:hAnsi="仿宋"/>
          <w:szCs w:val="32"/>
        </w:rPr>
        <w:t>渔政执法与资源养护、快艇燃油补助资金</w:t>
      </w:r>
      <w:r>
        <w:rPr>
          <w:rFonts w:hint="eastAsia" w:ascii="Times New Roman" w:hAnsi="Times New Roman"/>
          <w:szCs w:val="32"/>
        </w:rPr>
        <w:t>专项，我局组织了专项审查，得出以下结论：该</w:t>
      </w:r>
      <w:r>
        <w:rPr>
          <w:rFonts w:ascii="Times New Roman" w:hAnsi="Times New Roman"/>
          <w:szCs w:val="32"/>
        </w:rPr>
        <w:t>专项立项依据充分</w:t>
      </w:r>
      <w:r>
        <w:rPr>
          <w:rFonts w:hint="eastAsia" w:ascii="Times New Roman" w:hAnsi="Times New Roman"/>
          <w:szCs w:val="32"/>
        </w:rPr>
        <w:t>，制定了规范的</w:t>
      </w:r>
      <w:r>
        <w:rPr>
          <w:rFonts w:ascii="Times New Roman" w:hAnsi="Times New Roman"/>
          <w:szCs w:val="32"/>
        </w:rPr>
        <w:t>项目管理办法</w:t>
      </w:r>
      <w:r>
        <w:rPr>
          <w:rFonts w:hint="eastAsia" w:ascii="Times New Roman" w:hAnsi="Times New Roman"/>
          <w:szCs w:val="32"/>
        </w:rPr>
        <w:t>和</w:t>
      </w:r>
      <w:r>
        <w:rPr>
          <w:rFonts w:ascii="Times New Roman" w:hAnsi="Times New Roman"/>
          <w:szCs w:val="32"/>
        </w:rPr>
        <w:t>资金管理办法</w:t>
      </w:r>
      <w:r>
        <w:rPr>
          <w:rFonts w:hint="eastAsia" w:ascii="Times New Roman" w:hAnsi="Times New Roman"/>
          <w:szCs w:val="32"/>
        </w:rPr>
        <w:t>且</w:t>
      </w:r>
      <w:r>
        <w:rPr>
          <w:rFonts w:ascii="Times New Roman" w:hAnsi="Times New Roman"/>
          <w:szCs w:val="32"/>
        </w:rPr>
        <w:t>得到有效执行，组织了专项财务检查等资金安全控制措施等。</w:t>
      </w:r>
      <w:r>
        <w:rPr>
          <w:rFonts w:hint="eastAsia" w:ascii="Times New Roman" w:hAnsi="Times New Roman"/>
          <w:szCs w:val="32"/>
        </w:rPr>
        <w:t>该专项</w:t>
      </w:r>
      <w:r>
        <w:rPr>
          <w:rFonts w:ascii="Times New Roman" w:hAnsi="Times New Roman"/>
          <w:szCs w:val="32"/>
        </w:rPr>
        <w:t>资金分配合理，资金分配和使用方向与资金管理办法相符</w:t>
      </w:r>
      <w:r>
        <w:rPr>
          <w:rFonts w:hint="eastAsia" w:ascii="Times New Roman" w:hAnsi="Times New Roman"/>
          <w:szCs w:val="32"/>
        </w:rPr>
        <w:t>；资金</w:t>
      </w:r>
      <w:r>
        <w:rPr>
          <w:rFonts w:ascii="Times New Roman" w:hAnsi="Times New Roman"/>
          <w:szCs w:val="32"/>
        </w:rPr>
        <w:t>拨付及时，</w:t>
      </w:r>
      <w:r>
        <w:rPr>
          <w:rFonts w:hint="eastAsia" w:ascii="Times New Roman" w:hAnsi="Times New Roman"/>
          <w:szCs w:val="32"/>
        </w:rPr>
        <w:t>无</w:t>
      </w:r>
      <w:r>
        <w:rPr>
          <w:rFonts w:ascii="Times New Roman" w:hAnsi="Times New Roman"/>
          <w:szCs w:val="32"/>
        </w:rPr>
        <w:t>滞留、闲置等现象</w:t>
      </w:r>
      <w:r>
        <w:rPr>
          <w:rFonts w:hint="eastAsia" w:ascii="Times New Roman" w:hAnsi="Times New Roman"/>
          <w:szCs w:val="32"/>
        </w:rPr>
        <w:t>；</w:t>
      </w:r>
      <w:r>
        <w:rPr>
          <w:rFonts w:ascii="Times New Roman" w:hAnsi="Times New Roman"/>
          <w:szCs w:val="32"/>
        </w:rPr>
        <w:t>资金使用合规，无截留、挪用等现象，资金使用</w:t>
      </w:r>
      <w:r>
        <w:rPr>
          <w:rFonts w:hint="eastAsia" w:ascii="仿宋_GB2312" w:hAnsi="仿宋"/>
          <w:szCs w:val="32"/>
        </w:rPr>
        <w:t>改善了我县农业综合行政执法条件，提高了农业综合行政执法效率</w:t>
      </w:r>
      <w:r>
        <w:rPr>
          <w:rFonts w:ascii="Times New Roman" w:hAnsi="Times New Roman"/>
          <w:szCs w:val="32"/>
        </w:rPr>
        <w:t>。</w:t>
      </w:r>
      <w:r>
        <w:rPr>
          <w:rFonts w:hint="eastAsia" w:ascii="Times New Roman" w:hAnsi="Times New Roman"/>
          <w:szCs w:val="32"/>
        </w:rPr>
        <w:t>综上所述，2020年</w:t>
      </w:r>
      <w:r>
        <w:rPr>
          <w:rFonts w:hint="eastAsia" w:ascii="仿宋_GB2312" w:hAnsi="仿宋"/>
          <w:szCs w:val="32"/>
        </w:rPr>
        <w:t>渔政执法经费资金</w:t>
      </w:r>
      <w:r>
        <w:rPr>
          <w:rFonts w:hint="eastAsia" w:ascii="Times New Roman" w:hAnsi="Times New Roman"/>
          <w:szCs w:val="32"/>
        </w:rPr>
        <w:t>专项不存在问题。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改进措施及建议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仿宋_GB2312" w:hAnsi="仿宋"/>
          <w:szCs w:val="32"/>
        </w:rPr>
        <w:t>农业综合行政执法时效性极强，特别是目前“长江流域十年禁捕”工作是渔政执法工作的重中之重，缺少先进的执法装备，是制约农业综合行政执法的瓶颈问题。建议各级农业综合行政执法部门必须加强渔政执法装备建设，确保农业综合行政执法工作的有效进行。</w:t>
      </w:r>
    </w:p>
    <w:p>
      <w:pPr>
        <w:ind w:firstLine="640"/>
      </w:pPr>
    </w:p>
    <w:p>
      <w:pPr>
        <w:ind w:firstLine="0" w:firstLineChars="0"/>
      </w:pPr>
    </w:p>
    <w:p>
      <w:pPr>
        <w:ind w:firstLine="5440" w:firstLineChars="1700"/>
        <w:rPr>
          <w:rFonts w:ascii="仿宋_GB2312" w:hAnsi="仿宋"/>
          <w:szCs w:val="32"/>
        </w:rPr>
      </w:pPr>
    </w:p>
    <w:p>
      <w:pPr>
        <w:ind w:firstLine="5440" w:firstLineChars="1700"/>
        <w:rPr>
          <w:rFonts w:ascii="仿宋_GB2312" w:hAnsi="仿宋"/>
          <w:szCs w:val="32"/>
        </w:rPr>
      </w:pPr>
      <w:bookmarkStart w:id="0" w:name="_GoBack"/>
      <w:bookmarkEnd w:id="0"/>
    </w:p>
    <w:p>
      <w:pPr>
        <w:ind w:firstLine="0" w:firstLineChars="0"/>
        <w:rPr>
          <w:rFonts w:ascii="仿宋_GB2312" w:hAnsi="仿宋"/>
          <w:szCs w:val="32"/>
        </w:rPr>
      </w:pPr>
    </w:p>
    <w:p>
      <w:pPr>
        <w:tabs>
          <w:tab w:val="left" w:pos="7371"/>
          <w:tab w:val="left" w:pos="7513"/>
        </w:tabs>
        <w:autoSpaceDE w:val="0"/>
        <w:autoSpaceDN w:val="0"/>
        <w:adjustRightInd w:val="0"/>
        <w:spacing w:line="440" w:lineRule="exact"/>
        <w:ind w:firstLine="0" w:firstLineChars="0"/>
        <w:rPr>
          <w:rFonts w:ascii="仿宋_GB2312" w:hAnsi="仿宋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right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1860580934"/>
                </w:sdtPr>
                <w:sdtEndPr>
                  <w:rPr>
                    <w:rFonts w:ascii="Times New Roman" w:hAnsi="Times New Roman"/>
                    <w:sz w:val="22"/>
                    <w:szCs w:val="22"/>
                  </w:rPr>
                </w:sdtEndPr>
                <w:sdtContent>
                  <w:p>
                    <w:pPr>
                      <w:pStyle w:val="7"/>
                      <w:ind w:firstLine="360"/>
                      <w:jc w:val="right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  <w:p>
                <w:pPr>
                  <w:ind w:firstLine="640"/>
                </w:pPr>
              </w:p>
            </w:txbxContent>
          </v:textbox>
        </v:shape>
      </w:pict>
    </w:r>
  </w:p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9E735"/>
    <w:multiLevelType w:val="singleLevel"/>
    <w:tmpl w:val="04C9E7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6060"/>
    <w:rsid w:val="000108CD"/>
    <w:rsid w:val="00012E0A"/>
    <w:rsid w:val="000206AD"/>
    <w:rsid w:val="000525EB"/>
    <w:rsid w:val="00081049"/>
    <w:rsid w:val="00095193"/>
    <w:rsid w:val="00105137"/>
    <w:rsid w:val="00141946"/>
    <w:rsid w:val="001664DD"/>
    <w:rsid w:val="001E2E1C"/>
    <w:rsid w:val="00240209"/>
    <w:rsid w:val="002422AF"/>
    <w:rsid w:val="002444B4"/>
    <w:rsid w:val="00245217"/>
    <w:rsid w:val="00252772"/>
    <w:rsid w:val="0028370E"/>
    <w:rsid w:val="002B47C2"/>
    <w:rsid w:val="002E553D"/>
    <w:rsid w:val="0031646A"/>
    <w:rsid w:val="003368CB"/>
    <w:rsid w:val="003E6553"/>
    <w:rsid w:val="003E6806"/>
    <w:rsid w:val="00426060"/>
    <w:rsid w:val="00474CFD"/>
    <w:rsid w:val="00513162"/>
    <w:rsid w:val="00561B26"/>
    <w:rsid w:val="00664B37"/>
    <w:rsid w:val="006751E1"/>
    <w:rsid w:val="00684DD5"/>
    <w:rsid w:val="007037F4"/>
    <w:rsid w:val="00731F0A"/>
    <w:rsid w:val="008265BB"/>
    <w:rsid w:val="008B23F4"/>
    <w:rsid w:val="008F5739"/>
    <w:rsid w:val="00905AEC"/>
    <w:rsid w:val="00936186"/>
    <w:rsid w:val="00964887"/>
    <w:rsid w:val="00971C79"/>
    <w:rsid w:val="0099230D"/>
    <w:rsid w:val="009C3A7E"/>
    <w:rsid w:val="00A02EFC"/>
    <w:rsid w:val="00A73C72"/>
    <w:rsid w:val="00B16D03"/>
    <w:rsid w:val="00B52D44"/>
    <w:rsid w:val="00B84FF8"/>
    <w:rsid w:val="00C02493"/>
    <w:rsid w:val="00CA0769"/>
    <w:rsid w:val="00D37163"/>
    <w:rsid w:val="00D60A3B"/>
    <w:rsid w:val="00DF708A"/>
    <w:rsid w:val="00EB3103"/>
    <w:rsid w:val="00F15467"/>
    <w:rsid w:val="00FA184B"/>
    <w:rsid w:val="17ED30D7"/>
    <w:rsid w:val="2061423E"/>
    <w:rsid w:val="23F52443"/>
    <w:rsid w:val="2985491F"/>
    <w:rsid w:val="345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360" w:lineRule="auto"/>
      <w:jc w:val="center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eastAsia="楷体" w:cs="Arial"/>
      <w:b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  <w:rPr>
      <w:rFonts w:ascii="Arial" w:hAnsi="Arial" w:eastAsia="仿宋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2"/>
    <w:uiPriority w:val="9"/>
    <w:rPr>
      <w:rFonts w:eastAsia="宋体"/>
      <w:b/>
      <w:bCs/>
      <w:kern w:val="44"/>
      <w:sz w:val="44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10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标题 4 Char"/>
    <w:link w:val="5"/>
    <w:qFormat/>
    <w:uiPriority w:val="0"/>
    <w:rPr>
      <w:rFonts w:ascii="Arial" w:hAnsi="Arial" w:eastAsia="仿宋"/>
      <w:b/>
      <w:sz w:val="32"/>
    </w:rPr>
  </w:style>
  <w:style w:type="character" w:customStyle="1" w:styleId="16">
    <w:name w:val="批注框文本 Char"/>
    <w:basedOn w:val="10"/>
    <w:link w:val="6"/>
    <w:semiHidden/>
    <w:uiPriority w:val="99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434</Words>
  <Characters>2474</Characters>
  <Lines>20</Lines>
  <Paragraphs>5</Paragraphs>
  <TotalTime>15</TotalTime>
  <ScaleCrop>false</ScaleCrop>
  <LinksUpToDate>false</LinksUpToDate>
  <CharactersWithSpaces>2903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2021-06-05T08:48:00Z</dcterms:created>
  <dc:creator>Microsoft</dc:creator>
  <cp:lastModifiedBy>ω.Jia</cp:lastModifiedBy>
  <cp:lastPrinted>2021-04-25T03:31:00Z</cp:lastPrinted>
  <dcterms:modified xsi:type="dcterms:W3CDTF">2021-06-11T08:04:16Z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3F53FEE0A0814E2C8D6B1E376CE26A83</vt:lpwstr>
  </property>
</Properties>
</file>