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auto"/>
          <w:kern w:val="21"/>
          <w:sz w:val="36"/>
          <w:szCs w:val="36"/>
          <w:lang w:val="en-US" w:eastAsia="zh-CN" w:bidi="ar"/>
        </w:rPr>
        <w:t>南县供销合作社联合社2020年部门预算说明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96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第一部分 部门概况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一、部门职能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（一）宣传贯彻中央和省、市、县党委政府“三农”工作和社会发展的方针、政策，拟定全县供销合作社和合作经济发展战略、发展规划，指导供销合作事业的改革和发展。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（二）根据授权对农业生产资料和农副产品的经营进行组织、协调和管理，承接和指导供销合作社承担政府委托的公益性服务和其他任务。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（三）负责贯彻落实《中华人民共和国农民专业合作社法》:指导、扶持和服务农民专业合作社的发展。向县委、县政府和有关部门反映农民社员和供销合作社的意见与要求，维护其合法权益。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（四）负责农村现代流通网络体系的规划、建设，组织农村现代商品流道，满足农民的生产生活需要。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（五）负责基层组织建设，改善经营管理，协调社员之问的关系，发挥群体联合优势。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（六）指导全县供销合作社发展农民合作经济组织，推进农村综合服务体系建设，开拓城乡市场:参与和推动农业产业化经营。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（七）行使本级社有资产出资人代表职能，管理运营社有资产，采取科学有效的方式加强经营管理，确保社有资产保值增值，并按出资额依法享有相应的权益。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（八）组织开展对社员和职工的教育培训，为合作经济组织提供信息服务。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（九）对供销合作社系统行业、学科或业务范围内的全县性社会团体，履行业务主管单位的监督管理职责。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（十）完成县委.县政府交办的其他任务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/>
          <w:kern w:val="21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1"/>
          <w:sz w:val="32"/>
          <w:szCs w:val="32"/>
          <w:highlight w:val="none"/>
          <w:lang w:eastAsia="zh-CN"/>
        </w:rPr>
        <w:t>人员和编制情况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现有在职人员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 人，离退休人员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 人。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根据党和国家机构改革“三定”方案：全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总编制为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 个，其中行政编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 个、事业编 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</w:rPr>
        <w:t xml:space="preserve"> 个。</w:t>
      </w:r>
    </w:p>
    <w:p>
      <w:pPr>
        <w:numPr>
          <w:ilvl w:val="0"/>
          <w:numId w:val="1"/>
        </w:num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/>
          <w:color w:val="000000"/>
          <w:kern w:val="21"/>
          <w:sz w:val="31"/>
          <w:szCs w:val="31"/>
          <w:lang w:bidi="ar"/>
        </w:rPr>
      </w:pPr>
      <w:r>
        <w:rPr>
          <w:rFonts w:ascii="Times New Roman" w:hAnsi="Times New Roman" w:eastAsia="黑体"/>
          <w:color w:val="000000"/>
          <w:kern w:val="21"/>
          <w:sz w:val="31"/>
          <w:szCs w:val="31"/>
          <w:lang w:bidi="ar"/>
        </w:rPr>
        <w:t>机构设置</w:t>
      </w:r>
    </w:p>
    <w:p>
      <w:pPr>
        <w:numPr>
          <w:ilvl w:val="0"/>
          <w:numId w:val="0"/>
        </w:numPr>
        <w:overflowPunct w:val="0"/>
        <w:topLinePunct/>
        <w:spacing w:line="580" w:lineRule="exact"/>
        <w:textAlignment w:val="baseline"/>
        <w:rPr>
          <w:rFonts w:hint="default" w:ascii="Times New Roman" w:hAnsi="Times New Roman" w:eastAsia="黑体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/>
          <w:color w:val="000000"/>
          <w:kern w:val="21"/>
          <w:sz w:val="31"/>
          <w:szCs w:val="31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内设六个职能股室：办公室、财务股、人事股、综治安全股、合作指导股、社有资产运营指导中心。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四、部门预算单位构成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南县供销合作联社部门预算只有本级，没有其他二级预算单位，因此，纳入2020年部门预算编制范围的只有南县供销合作联社部门本级。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96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第二部分 2020 年部门预算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zh-CN" w:eastAsia="zh-CN" w:bidi="ar"/>
        </w:rPr>
        <w:t>一、</w:t>
      </w:r>
      <w:r>
        <w:rPr>
          <w:rFonts w:hint="default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《财政拨款收支总表》说明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收入预算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一般公共预算拨款收入2020年预算数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795.99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 2019 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41.49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5.2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供销社综合改革经费和养老保险等五金增加。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支出预算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商业服务业等支出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335.59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%，主要是单位人员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变动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社会保障和就业支出（类级科目）2020年预算数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404.34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13.31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%，主要是退休人员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医疗保障缴费支出纳入单位交费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卫生健康支出（类级科目）2020年预算数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32.07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19.8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61.74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%，主要是主要是退休人员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医疗保障缴费支出纳入单位交费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住房保障支出（类级科目）2020年预算数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23.99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减少0.33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减少1.38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%，主要是在职人员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变动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《一般公共预算支出表》说明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2020年一般公共预算拨款收入795.99万元，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41.49万元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5.2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%。其中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商业服务业等支出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335.59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%，主要反映单位人员工资、津补贴以及部门专项经费支出。其中，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事业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运行（项级科目）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201.69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6.7万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（2）一般行政管理事务（项级科目）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85.2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12.3万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14.4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2、社会保障和就业支出（类级科目）2020年预算数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404.34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13.31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%，主要反映单位人员离退休人员经费支出和在职人员社保缴费支出。其中，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ascii="Times New Roman" w:hAnsi="Times New Roman" w:eastAsia="仿宋_GB2312"/>
          <w:color w:val="000000"/>
          <w:kern w:val="21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（1）归口管理的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事业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单位离退休（项级科目）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351.07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</w:t>
      </w:r>
      <w:r>
        <w:rPr>
          <w:rFonts w:ascii="Times New Roman" w:hAnsi="Times New Roman" w:eastAsia="仿宋_GB2312"/>
          <w:color w:val="000000"/>
          <w:kern w:val="21"/>
          <w:sz w:val="31"/>
          <w:szCs w:val="31"/>
          <w:lang w:bidi="ar"/>
        </w:rPr>
        <w:t>比2019年预算数</w:t>
      </w:r>
      <w:r>
        <w:rPr>
          <w:rFonts w:hint="eastAsia" w:ascii="Times New Roman" w:hAnsi="Times New Roman" w:eastAsia="仿宋_GB2312"/>
          <w:color w:val="000000"/>
          <w:kern w:val="21"/>
          <w:sz w:val="31"/>
          <w:szCs w:val="31"/>
          <w:lang w:bidi="ar"/>
        </w:rPr>
        <w:t>增加</w:t>
      </w:r>
      <w:r>
        <w:rPr>
          <w:rFonts w:hint="eastAsia" w:ascii="Times New Roman" w:hAnsi="Times New Roman" w:eastAsia="仿宋_GB2312"/>
          <w:color w:val="000000"/>
          <w:kern w:val="21"/>
          <w:sz w:val="31"/>
          <w:szCs w:val="31"/>
          <w:lang w:val="en-US" w:eastAsia="zh-CN" w:bidi="ar"/>
        </w:rPr>
        <w:t>37.81</w:t>
      </w:r>
      <w:r>
        <w:rPr>
          <w:rFonts w:hint="eastAsia" w:ascii="Times New Roman" w:hAnsi="Times New Roman" w:eastAsia="仿宋_GB2312"/>
          <w:color w:val="000000"/>
          <w:kern w:val="21"/>
          <w:sz w:val="31"/>
          <w:szCs w:val="31"/>
          <w:lang w:bidi="ar"/>
        </w:rPr>
        <w:t>万元</w:t>
      </w:r>
      <w:r>
        <w:rPr>
          <w:rFonts w:ascii="Times New Roman" w:hAnsi="Times New Roman" w:eastAsia="仿宋_GB2312"/>
          <w:color w:val="000000"/>
          <w:kern w:val="21"/>
          <w:sz w:val="31"/>
          <w:szCs w:val="31"/>
          <w:lang w:bidi="ar"/>
        </w:rPr>
        <w:t xml:space="preserve"> ，</w:t>
      </w:r>
      <w:r>
        <w:rPr>
          <w:rFonts w:hint="eastAsia" w:ascii="Times New Roman" w:hAnsi="Times New Roman" w:eastAsia="仿宋_GB2312"/>
          <w:color w:val="000000"/>
          <w:kern w:val="21"/>
          <w:sz w:val="31"/>
          <w:szCs w:val="31"/>
          <w:lang w:bidi="ar"/>
        </w:rPr>
        <w:t>增</w:t>
      </w:r>
      <w:r>
        <w:rPr>
          <w:rFonts w:ascii="Times New Roman" w:hAnsi="Times New Roman" w:eastAsia="仿宋_GB2312"/>
          <w:color w:val="000000"/>
          <w:kern w:val="21"/>
          <w:sz w:val="31"/>
          <w:szCs w:val="31"/>
          <w:lang w:bidi="ar"/>
        </w:rPr>
        <w:t>幅</w:t>
      </w:r>
      <w:r>
        <w:rPr>
          <w:rFonts w:hint="eastAsia" w:ascii="Times New Roman" w:hAnsi="Times New Roman" w:eastAsia="仿宋_GB2312"/>
          <w:color w:val="000000"/>
          <w:kern w:val="21"/>
          <w:sz w:val="31"/>
          <w:szCs w:val="31"/>
          <w:lang w:val="en-US" w:eastAsia="zh-CN" w:bidi="ar"/>
        </w:rPr>
        <w:t>10.77</w:t>
      </w:r>
      <w:r>
        <w:rPr>
          <w:rFonts w:ascii="Times New Roman" w:hAnsi="Times New Roman" w:eastAsia="仿宋_GB2312"/>
          <w:color w:val="000000"/>
          <w:kern w:val="21"/>
          <w:sz w:val="31"/>
          <w:szCs w:val="31"/>
          <w:lang w:bidi="ar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（2）机关事业单位基本养老保险缴费支出（项级科目）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32.27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   万元，比2019年预算数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减少8.64万元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减幅26.77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（3）机关事业单位职业年金缴费（项级科目）支出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16.14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减少0.23万元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1.43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3、卫生健康支出（类级科目）2020年预算数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32.07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19.8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61.74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%，主要反映单位在职人员医疗保险缴费支出。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4、住房保障支出（类级科目）2020年预算数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23.99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0.33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%，主要反映在职人员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变动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住房公积金支出。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三、《一般公共预算基本支出表》说明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基本支出：指为保障单位正常运转、完成日常工作任务而发生的各项支出，包括用于基本工资、津贴补贴等人员经费以及办公费、印刷费、水电费、办公设备购置等日常公用经费。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财政拨款基本支出 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710.79万元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。其中：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工资福利支出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311.02万元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，主要包括基本工资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132.97万元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、津贴补贴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45.15万元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绩效工资23.57万元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、机关事业单位基本养老保险缴费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32.27万元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、职业年金缴费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16.14万元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、住房公积金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23.99万元，医疗保险金32.07万元，失业保险金0.6万元，生育保险金1.01万元，工伤保险金1.61万元，残疾保险金1.64万元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商品和服务支出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49.12万元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，主要包括办公费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3.41万元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水电费4.5万元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、邮电费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0.2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万元、差旅费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万元、会议费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万元、培训费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万元、工会经费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4.03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万元、公务用车运行维护费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万元、其他交通费用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10.56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福利费2.66万元，在职人员党建经费9.76万元，退休人员工作经费7.1万元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对个人和家庭的补助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350.65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万元，主要包括离休费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8.23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万元、退休费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196.43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万元、生活补助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3.87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万元等。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四、《部门“三公”经费预算表》说明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“三公”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经费2020年预算数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万元，其中，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因公出国（境）费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公务用车购置费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公务用车运行费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(单位公务用车指标数)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、公务接待费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（2019年公务接待费列入县本级专项）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。2020年“三公”经费预算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2019年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持平。（2019 年部门公务用车运行维护经费列入县本级专项）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主要原因：按照党中央、国务院关于过“紧日子”和坚持厉行节约反对浪费的要求，严控公务接待费支出。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五、《部门预算收支总表》说明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cs="Times New Roman"/>
          <w:b w:val="0"/>
          <w:bCs w:val="0"/>
          <w:kern w:val="2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（一）收入预算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 一般公共预算拨款收入：2020年预算数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795.99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41.49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5.2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%，主要是新增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供销社综合改革经费和养老保险金增加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 本部门无政府性基金收入。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kern w:val="2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（二）支出预算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70C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商业服务业等支出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335.59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供销社综合改革经费和养老保险金增加</w:t>
      </w:r>
      <w:r>
        <w:rPr>
          <w:rFonts w:hint="default" w:ascii="Times New Roman" w:hAnsi="Times New Roman" w:eastAsia="仿宋_GB2312" w:cs="Times New Roman"/>
          <w:b w:val="0"/>
          <w:bCs w:val="0"/>
          <w:color w:val="0070C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社会保障和就业支出（类级科目）2020年预算数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404.34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13.31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%，主要是退休人员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医疗保障缴费支出纳入单位交费</w:t>
      </w:r>
      <w:r>
        <w:rPr>
          <w:rFonts w:hint="default" w:ascii="Times New Roman" w:hAnsi="Times New Roman" w:eastAsia="仿宋_GB2312" w:cs="Times New Roman"/>
          <w:b w:val="0"/>
          <w:bCs w:val="0"/>
          <w:color w:val="0070C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卫生健康支出（类级科目）2020年预算数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32.07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19.8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61.74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%，主要是退休人员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医疗保障缴费支出纳入单位交费</w:t>
      </w:r>
      <w:r>
        <w:rPr>
          <w:rFonts w:hint="default" w:ascii="Times New Roman" w:hAnsi="Times New Roman" w:eastAsia="仿宋_GB2312" w:cs="Times New Roman"/>
          <w:b w:val="0"/>
          <w:bCs w:val="0"/>
          <w:color w:val="0070C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住房保障支出（类级科目）2020年预算数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23.99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 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减少0.33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%，主要是单位在职人员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减少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200" w:firstLine="310" w:firstLineChars="1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六、《部门一般公共预算收入预算总表》说明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kern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一般公共预算财政拨款收入：2020年预算数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795.99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万元，占总收入的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%。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200" w:firstLine="310" w:firstLineChars="1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 xml:space="preserve">七、《部门一般公共预算支出预算总表》说明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（一）基本支出：2020年预算数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710.79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万元，主要是一般公共服务支出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710.79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万元，主要用于机关本级的基本支出。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85.2万元，包括：企业改制遗留人员经费17.76万元、供销社综合改革经费26万元、农村经济合作经费6万元、引进二类人才经费1.44万元、维稳经费30万元、企业留守人员经费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《部门政府性基金预算支出情况表》说明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本单位无政府性基金预算支出安排情况。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after="308" w:afterLines="5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第三部分  其他有关情况说明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0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1. 机关运行经费安排使用情况说明。机关运行经费财政拨款2020年预算数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201.69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万元，比2019年预算数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增加6.7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3.3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%。主要是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机构改革，人员变动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0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2. 政府采购情况说明。政府采购2020年预算数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万元，其中，政府采购货物预算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万元、政府采购服务预算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0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. 国有资产占有使用情况说明。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0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南县供销合作联社国有资产16.7万元。办公设备及培训设备数量31件，价值16.7万元。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Chars="0"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. 预算绩效情况说明。2020年实行部门预算绩效目标管理的一级项目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个，涉及一般公共预算拨款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85.2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万元；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部门已申报支出整体绩效目标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overflowPunct w:val="0"/>
        <w:topLinePunct/>
        <w:spacing w:after="305" w:afterLines="50" w:line="580" w:lineRule="exact"/>
        <w:ind w:firstLine="6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1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31"/>
          <w:szCs w:val="31"/>
          <w:lang w:bidi="ar"/>
        </w:rPr>
        <w:t>第四部分 名词解释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21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1"/>
          <w:szCs w:val="31"/>
          <w:lang w:bidi="ar"/>
        </w:rPr>
        <w:t>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21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1"/>
          <w:szCs w:val="31"/>
          <w:lang w:bidi="ar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21"/>
          <w:sz w:val="31"/>
          <w:szCs w:val="31"/>
          <w:lang w:bidi="ar"/>
        </w:rPr>
      </w:pP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 w:eastAsia="仿宋"/>
          <w:color w:val="000000"/>
          <w:kern w:val="21"/>
          <w:sz w:val="31"/>
          <w:szCs w:val="31"/>
          <w:lang w:bidi="ar"/>
        </w:rPr>
      </w:pPr>
      <w:r>
        <w:rPr>
          <w:rFonts w:ascii="Times New Roman" w:hAnsi="Times New Roman" w:eastAsia="仿宋"/>
          <w:color w:val="000000"/>
          <w:kern w:val="21"/>
          <w:sz w:val="31"/>
          <w:szCs w:val="31"/>
          <w:lang w:bidi="ar"/>
        </w:rPr>
        <w:br w:type="page"/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附件：部门预算公开表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1、部门预算收支总表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2、部门一般公共预算收入预算</w:t>
      </w:r>
      <w:r>
        <w:rPr>
          <w:rFonts w:hint="eastAsia" w:ascii="Times New Roman" w:hAnsi="Times New Roman" w:eastAsia="微软雅黑"/>
          <w:color w:val="000000"/>
          <w:kern w:val="21"/>
          <w:sz w:val="24"/>
          <w:lang w:bidi="ar"/>
        </w:rPr>
        <w:t>总</w:t>
      </w: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3、部门一般公共预算支出预算总表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4、部门一般公共预算支出预算明细表（按部门预算科目）—工资和福利支出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5、部门一般公共预算支出预算明细表（按部门预算科目）—一般商品和服务支出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6、部门一般公共预算支出预算明细表（按部门预算科目）—对个人和家庭补助支出与项目支出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7、部门一般公共预算项目支出预算表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8、部门“三公”经费预算表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 w:eastAsia="微软雅黑"/>
          <w:color w:val="000000"/>
          <w:kern w:val="21"/>
          <w:sz w:val="24"/>
          <w:lang w:bidi="ar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9、部门财政拨款收支总表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 w:eastAsia="微软雅黑"/>
          <w:color w:val="000000"/>
          <w:kern w:val="21"/>
          <w:sz w:val="24"/>
          <w:lang w:bidi="ar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10、一般公共预算支出情况表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 w:eastAsia="微软雅黑"/>
          <w:color w:val="000000"/>
          <w:kern w:val="21"/>
          <w:sz w:val="24"/>
          <w:lang w:bidi="ar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11、一般公共预算基本支出情况表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12、部门政府性基金预算支出情况表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13、部门政府采购预算表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14、部门整体支出绩效目标申报表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15、部门项目支出绩效目标申报表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/>
          <w:kern w:val="21"/>
        </w:rPr>
      </w:pPr>
      <w:r>
        <w:rPr>
          <w:rFonts w:ascii="Times New Roman" w:hAnsi="Times New Roman" w:eastAsia="微软雅黑"/>
          <w:color w:val="000000"/>
          <w:kern w:val="21"/>
          <w:sz w:val="24"/>
          <w:lang w:bidi="ar"/>
        </w:rPr>
        <w:t>16、重点项目支出绩效目标申报表（属县本级预算表格，本表为空表）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757" w:bottom="141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B2EA5"/>
    <w:multiLevelType w:val="singleLevel"/>
    <w:tmpl w:val="B35B2E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9C2D91"/>
    <w:multiLevelType w:val="singleLevel"/>
    <w:tmpl w:val="789C2D9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6882"/>
    <w:rsid w:val="01FD301F"/>
    <w:rsid w:val="02DD2902"/>
    <w:rsid w:val="04D23F93"/>
    <w:rsid w:val="072F6DB5"/>
    <w:rsid w:val="09D55907"/>
    <w:rsid w:val="13B00B26"/>
    <w:rsid w:val="141A6E5A"/>
    <w:rsid w:val="1C5069AD"/>
    <w:rsid w:val="1D6B3313"/>
    <w:rsid w:val="236E7086"/>
    <w:rsid w:val="24E814C7"/>
    <w:rsid w:val="28E725BC"/>
    <w:rsid w:val="2CDA669B"/>
    <w:rsid w:val="34180481"/>
    <w:rsid w:val="38F871CB"/>
    <w:rsid w:val="3E8B7F00"/>
    <w:rsid w:val="3E8F1EF5"/>
    <w:rsid w:val="41067882"/>
    <w:rsid w:val="42932A44"/>
    <w:rsid w:val="44182701"/>
    <w:rsid w:val="44D65AD1"/>
    <w:rsid w:val="44E30A22"/>
    <w:rsid w:val="48D87BE0"/>
    <w:rsid w:val="49421743"/>
    <w:rsid w:val="4CEE184B"/>
    <w:rsid w:val="4FB67400"/>
    <w:rsid w:val="506808C1"/>
    <w:rsid w:val="50E65925"/>
    <w:rsid w:val="54D24743"/>
    <w:rsid w:val="59A504A1"/>
    <w:rsid w:val="5B584047"/>
    <w:rsid w:val="5BBD58F2"/>
    <w:rsid w:val="5BCB224E"/>
    <w:rsid w:val="5C984CB7"/>
    <w:rsid w:val="60DC0C9B"/>
    <w:rsid w:val="62955B4B"/>
    <w:rsid w:val="64582372"/>
    <w:rsid w:val="66AF4E0D"/>
    <w:rsid w:val="66FE6BA2"/>
    <w:rsid w:val="672F2EBB"/>
    <w:rsid w:val="68B340B7"/>
    <w:rsid w:val="775B591D"/>
    <w:rsid w:val="7B356882"/>
    <w:rsid w:val="7BBB64E9"/>
    <w:rsid w:val="7C914B19"/>
    <w:rsid w:val="7E334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2017-12-05T12:24:00Z</dcterms:created>
  <dc:creator>someone1370439269</dc:creator>
  <cp:lastModifiedBy>易小僧</cp:lastModifiedBy>
  <cp:lastPrinted>2020-02-18T08:52:00Z</cp:lastPrinted>
  <dcterms:modified xsi:type="dcterms:W3CDTF">2021-06-17T02:08:31Z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912C6052D1F44D1AAA82732BBD2CDD25</vt:lpwstr>
  </property>
</Properties>
</file>