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南县立达中学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立达中学座落在南洲镇永安社区， 是一所有百年历史的市示范完全中学， 现有在职在编教师 418 人， 退休教师 103 人， 长期临时工 29 人，学生 3499 人，我校坚决贯彻实施党的教育方针， 把学生培养成德、智、体、美、劳全面发展的人才。在今后的工作中抓好教育教学，争取培养更多更好的优秀人才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下设办公室、教务处、德育处、总务处、监察室、团委、初中七、八、九年级组、高中一、二、三年级组等。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立达中学部门只有本级， 没有其他二级预算单位， 因此，纳入 2019 年部门预算编制范围的只有立达中学部门本级。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（ 一） 收入预算， 2019 年年初预算数 4877.45 万元， 其中， 预算内拨款 4677.45 万元， 纳入专户管理的非税收入 200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（ 二） 支出预算， 2019 年年初预算数 4877.45 万元， 其中， 教育支出 3078.41 万元， 社会保保障和就业支出 1353.87 万元， 医疗健康支出 155.89 万元， 住房保障支出 289.28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（三） 部门政府性基金预算和国有资本经营预算拨款收支情况： 1、本部门无政府性基金预算收支， 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、部门收支</w:t>
      </w:r>
      <w:r>
        <w:rPr>
          <w:rFonts w:hint="eastAsia" w:ascii="Times New Roman" w:hAnsi="Times New Roman" w:cs="Times New Roman" w:eastAsiaTheme="minorEastAsia"/>
          <w:color w:val="auto"/>
          <w:sz w:val="32"/>
          <w:szCs w:val="32"/>
          <w:lang w:eastAsia="zh-CN"/>
        </w:rPr>
        <w:t>预算增加变动</w:t>
      </w: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 w:eastAsiaTheme="minorEastAsia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32"/>
          <w:szCs w:val="32"/>
          <w:lang w:eastAsia="zh-CN"/>
        </w:rPr>
        <w:t>收入</w:t>
      </w: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较去年预算数增加 215.36 万元，</w:t>
      </w:r>
      <w:r>
        <w:rPr>
          <w:rFonts w:hint="eastAsia" w:ascii="Times New Roman" w:hAnsi="Times New Roman" w:cs="Times New Roman" w:eastAsiaTheme="minorEastAsia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cs="Times New Roman" w:eastAsiaTheme="minorEastAsia"/>
          <w:color w:val="auto"/>
          <w:sz w:val="32"/>
          <w:szCs w:val="32"/>
          <w:lang w:val="en-US" w:eastAsia="zh-CN"/>
        </w:rPr>
        <w:t>4.6%</w:t>
      </w: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 w:eastAsiaTheme="minorEastAsia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主要是</w:t>
      </w:r>
      <w:r>
        <w:rPr>
          <w:rFonts w:hint="eastAsia" w:ascii="Times New Roman" w:hAnsi="Times New Roman" w:cs="Times New Roman" w:eastAsiaTheme="minorEastAsia"/>
          <w:color w:val="auto"/>
          <w:sz w:val="32"/>
          <w:szCs w:val="32"/>
          <w:lang w:eastAsia="zh-CN"/>
        </w:rPr>
        <w:t>一般公共预算财政拨款收入增加。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支出较去年预算数增加 215.36 万元，</w:t>
      </w:r>
      <w:r>
        <w:rPr>
          <w:rFonts w:hint="eastAsia" w:ascii="Times New Roman" w:hAnsi="Times New Roman" w:cs="Times New Roman" w:eastAsiaTheme="minorEastAsia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cs="Times New Roman" w:eastAsiaTheme="minorEastAsia"/>
          <w:color w:val="auto"/>
          <w:sz w:val="32"/>
          <w:szCs w:val="32"/>
          <w:lang w:val="en-US" w:eastAsia="zh-CN"/>
        </w:rPr>
        <w:t>4.6%</w:t>
      </w: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 w:eastAsiaTheme="minorEastAsia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 xml:space="preserve"> 主要是单位编制内人员数的增加， 人员经费增加。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四、一般公共预算拨款支出预算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2019 年一般公共预算拨款收入 4877.45 万元， 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（一）基本支出：2019 年初预算数为 4844.45 万元，是指为保障单位机构正常运转、完成日常工作任务而发生的各项支出， 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 xml:space="preserve">（二）项目支出：2019 年年初预算数为 33 万元，是指单位为完成特定行政工作任务或事业发展目标而发生的支出， 包括有关事业发展专项、专项业务费等。其中：新增资产配置支出 20 万；公务接待费 0 万元； 专项商品和服务支出 13 万元， 明细为：（ 多媒体教学 7 万元，省市运动会 6 万元）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1、运行经费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2019 年本部门运行经费当年一般公共预算拨款 335.69 万元，比 2018 年预算 329 万元增加 6.69 万元，上升 2%。主要是单位编内在职人员增加。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2、“ 三公” 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2018 年“ 三公”经费预算数为 8.02 万元， 其中，公务接待费8.02 万元，</w:t>
      </w:r>
      <w:r>
        <w:rPr>
          <w:rFonts w:ascii="Times New Roman" w:hAnsi="Times New Roman" w:cs="Times New Roman"/>
          <w:color w:val="auto"/>
          <w:sz w:val="32"/>
          <w:szCs w:val="32"/>
        </w:rPr>
        <w:t>公务用车购置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0万元、公务用车</w:t>
      </w:r>
      <w:r>
        <w:rPr>
          <w:rFonts w:ascii="Times New Roman" w:hAnsi="Times New Roman" w:cs="Times New Roman"/>
          <w:color w:val="auto"/>
          <w:sz w:val="32"/>
          <w:szCs w:val="32"/>
        </w:rPr>
        <w:t>运行费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0万元，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因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公出国（境）费0万元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，2019年“三公”经费预算与上年持平。主要原因：按照党中央、国务院关于过“紧日子”和坚持厉行节约反对浪费的要求，严控公务接待费支出。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3、国有资产占有使用情况立达中学共有固定有资产 3168.5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4、绩效目标情况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本单位 2019 年实现了部门支出整体绩效目标覆盖， 无 30万以上的重点专项支出。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5、政府采购情况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2019 年本部门政府采购预算总额 0 万元， 其中： 政府采购货物预算 0 万元、政府采购工程预算 0 万元、政府采购服务预算0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2、“ 三公”经费：纳入县财政预算管理的“ 三公“ 经费，是指用一般公共预算拨款安排的公务接待费、公务用车购置及运行维护费和因公出国（境）费。其中，公务接待费反映单位按规定开支的各类公务接待支出； 公务用车购置及运行费反映单位公务用车车辆购置支出（ 含车辆购置税）， 以及燃料费、维修费、保险费等支出； 因公出国（ 境） 费反映单位公务出国（ 境） 的国际旅费、国外城市间交通费、食宿费等支出。</w:t>
      </w:r>
    </w:p>
    <w:bookmarkEnd w:id="0"/>
    <w:sectPr>
      <w:pgSz w:w="11910" w:h="16840"/>
      <w:pgMar w:top="1701" w:right="1531" w:bottom="1701" w:left="153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023C1"/>
    <w:rsid w:val="1636044B"/>
    <w:rsid w:val="21122795"/>
    <w:rsid w:val="397378F3"/>
    <w:rsid w:val="55016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2020-02-15T10:38:00Z</dcterms:created>
  <dc:creator>someone1370439269</dc:creator>
  <cp:lastModifiedBy>易小僧</cp:lastModifiedBy>
  <dcterms:modified xsi:type="dcterms:W3CDTF">2021-06-08T00:43:47Z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2020-02-15T00:00:00Z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676EC3E9936144BA80F3121B39D89CD8</vt:lpwstr>
  </property>
</Properties>
</file>