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/>
        <w:autoSpaceDN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 xml:space="preserve">2019 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年南县教师进修学校预算公开说明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一、部门基本情况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（一）职能职责</w:t>
      </w:r>
    </w:p>
    <w:p>
      <w:pPr>
        <w:widowControl/>
        <w:spacing w:line="500" w:lineRule="exact"/>
        <w:ind w:firstLine="627" w:firstLineChars="196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、职能职责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南县教师进修学校是县教育局管理的二级机构，</w:t>
      </w:r>
      <w:r>
        <w:rPr>
          <w:rFonts w:hint="eastAsia" w:ascii="Times New Roman" w:hAnsi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配合县局教师工作股做好教育教学指导工作</w:t>
      </w:r>
      <w:r>
        <w:rPr>
          <w:rFonts w:hint="eastAsia" w:ascii="Times New Roman" w:hAnsi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为全县中小学校开展校本培训提供指导和服务</w:t>
      </w:r>
      <w:r>
        <w:rPr>
          <w:rFonts w:hint="eastAsia" w:ascii="Times New Roman" w:hAnsi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、配合教育行政部门做好全县有关中小学教师继续教育的组织、实施、评价和服务工作。</w:t>
      </w:r>
    </w:p>
    <w:p>
      <w:pPr>
        <w:widowControl/>
        <w:spacing w:line="500" w:lineRule="exact"/>
        <w:ind w:firstLine="627" w:firstLineChars="196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现有在职人员</w:t>
      </w:r>
      <w:r>
        <w:rPr>
          <w:rFonts w:ascii="Times New Roman" w:hAnsi="Times New Roman" w:eastAsia="仿宋_GB2312"/>
          <w:color w:val="auto"/>
          <w:sz w:val="32"/>
          <w:szCs w:val="32"/>
        </w:rPr>
        <w:t>28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人，离退休人员</w:t>
      </w:r>
      <w:r>
        <w:rPr>
          <w:rFonts w:ascii="Times New Roman" w:hAnsi="Times New Roman" w:eastAsia="仿宋_GB2312"/>
          <w:color w:val="auto"/>
          <w:sz w:val="32"/>
          <w:szCs w:val="32"/>
        </w:rPr>
        <w:t>36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人。总编制为</w:t>
      </w:r>
      <w:r>
        <w:rPr>
          <w:rFonts w:ascii="Times New Roman" w:hAnsi="Times New Roman" w:eastAsia="仿宋_GB2312"/>
          <w:color w:val="auto"/>
          <w:sz w:val="32"/>
          <w:szCs w:val="32"/>
        </w:rPr>
        <w:t>30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个，其中工勤编</w:t>
      </w: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个、事业编</w:t>
      </w:r>
      <w:r>
        <w:rPr>
          <w:rFonts w:ascii="Times New Roman" w:hAnsi="Times New Roman" w:eastAsia="仿宋_GB2312"/>
          <w:color w:val="auto"/>
          <w:sz w:val="32"/>
          <w:szCs w:val="32"/>
        </w:rPr>
        <w:t>25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（二）机构设置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教师进修学校是南县教育局的二级机构。学校内不再设置科室。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二、部门预算单位构成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纳入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年部门预算编制范围的只有南县进修学校站本级。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三、部门收支概况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（一）收入预算，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596.77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万元，其中一般公共预算拨款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526.77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纳入专户管理的非税收入</w:t>
      </w:r>
      <w:r>
        <w:rPr>
          <w:rFonts w:ascii="Times New Roman" w:hAnsi="Times New Roman" w:eastAsia="仿宋_GB2312"/>
          <w:color w:val="auto"/>
          <w:sz w:val="32"/>
          <w:szCs w:val="32"/>
        </w:rPr>
        <w:t>70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（二）支出预算，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596.77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万元，其中，教育支出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288.53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万元，社会保障和就业支出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268.46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万元，医疗健康支出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13.96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万元，住房保障支出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25.82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（三）部门政府性基金预算和国有资本经营预算拨款收支情况：</w:t>
      </w: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、本部门无政府性基金预算收支，并已公开空表。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、本部门无国有资本经营预算拨款收支情况。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四、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一般公共预算拨款支出预算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年一般公共预算拨款收入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596.77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万元，具体安排情况如下：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（一）基本支出：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583.77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万元，是指为保障单位机构正常运转、完成日常工作任务而发生的各项支出，包括用于基本工资、津贴补贴等人员经费以及办公费、印刷费、水电费、物业管理费等日常公用经费。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（二）项目支出：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万元，是指单位为完成特定行政工作任务或事业发展目标而发生的支出。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其中：公务接待费</w:t>
      </w:r>
      <w:r>
        <w:rPr>
          <w:rFonts w:ascii="Times New Roman" w:hAnsi="Times New Roman" w:eastAsia="仿宋_GB2312"/>
          <w:color w:val="auto"/>
          <w:sz w:val="32"/>
          <w:szCs w:val="32"/>
        </w:rPr>
        <w:t>2.2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专项商品和服务支出</w:t>
      </w:r>
      <w:r>
        <w:rPr>
          <w:rFonts w:ascii="Times New Roman" w:hAnsi="Times New Roman" w:eastAsia="仿宋_GB2312"/>
          <w:color w:val="auto"/>
          <w:sz w:val="32"/>
          <w:szCs w:val="32"/>
        </w:rPr>
        <w:t>10.8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万元，明细为：（教师培训费</w:t>
      </w:r>
      <w:r>
        <w:rPr>
          <w:rFonts w:ascii="Times New Roman" w:hAnsi="Times New Roman" w:eastAsia="仿宋_GB2312"/>
          <w:color w:val="auto"/>
          <w:sz w:val="32"/>
          <w:szCs w:val="32"/>
        </w:rPr>
        <w:t>2.2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万，教师学分登记入册</w:t>
      </w:r>
      <w:r>
        <w:rPr>
          <w:rFonts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万，教师资格认证注册</w:t>
      </w:r>
      <w:r>
        <w:rPr>
          <w:rFonts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万，考试费</w:t>
      </w:r>
      <w:r>
        <w:rPr>
          <w:rFonts w:ascii="Times New Roman" w:hAnsi="Times New Roman" w:eastAsia="仿宋_GB2312"/>
          <w:color w:val="auto"/>
          <w:sz w:val="32"/>
          <w:szCs w:val="32"/>
        </w:rPr>
        <w:t>0.6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万，公务接待费</w:t>
      </w:r>
      <w:r>
        <w:rPr>
          <w:rFonts w:ascii="Times New Roman" w:hAnsi="Times New Roman" w:eastAsia="仿宋_GB2312"/>
          <w:color w:val="auto"/>
          <w:sz w:val="32"/>
          <w:szCs w:val="32"/>
        </w:rPr>
        <w:t>2.2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万）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五、部门收支预算变动情况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收入预算，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596.77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万元，比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2018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年预算数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567.81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万元增加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28.96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万元，增长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4.9%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，主要是一般公共预算财政拨款收入增加。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支出预算，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596.77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万元，比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2018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年预算数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567.81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万元增加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28.96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万元，增长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4.9%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，主要是一般公共预算财政拨款收入增加。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六、其他重要事项的情况说明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、机关运行经费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年单位运行经费一般公共预算拨款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41.38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万元，比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2018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24.73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万元增加了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16.65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万元。主要是人员增加，公用经费规模增加。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</w:t>
      </w:r>
      <w:r>
        <w:rPr>
          <w:rFonts w:ascii="Times New Roman" w:hAnsi="Times New Roman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三公</w:t>
      </w:r>
      <w:r>
        <w:rPr>
          <w:rFonts w:ascii="Times New Roman" w:hAnsi="Times New Roman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经费预算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</w:t>
      </w:r>
      <w:r>
        <w:rPr>
          <w:rFonts w:ascii="Times New Roman" w:hAnsi="Times New Roman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三公</w:t>
      </w:r>
      <w:r>
        <w:rPr>
          <w:rFonts w:ascii="Times New Roman" w:hAnsi="Times New Roman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经费预算数为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2.2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万元，其中，公务接待费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2.2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公出国（境）费0万元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。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</w:t>
      </w:r>
      <w:r>
        <w:rPr>
          <w:rFonts w:ascii="Times New Roman" w:hAnsi="Times New Roman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三公</w:t>
      </w:r>
      <w:r>
        <w:rPr>
          <w:rFonts w:ascii="Times New Roman" w:hAnsi="Times New Roman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经费预算数不超过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2018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年决算数，主要是严格执行中央八项规定及省委九项规定，严控三公经费。公车制度改革后，依规对公务用车购置及运行费预算进行了调整；本单位无公出国（境）费用预算。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、政府采购情况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年南县进修学校站无政府采购预算。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、国有资产占有使用情况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截至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2018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12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月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日，南县教育局进修学校共有国有资产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38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、绩效目标情况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本单位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年实现了部门支出整体绩效目标覆盖，无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30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万以上的重点专项支出。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hint="eastAsia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七、名词解释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hint="eastAsia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bookmarkEnd w:id="0"/>
    <w:sectPr>
      <w:footerReference r:id="rId3" w:type="default"/>
      <w:pgSz w:w="11910" w:h="16840"/>
      <w:pgMar w:top="1580" w:right="1580" w:bottom="1701" w:left="1600" w:header="0" w:footer="9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val="en-US"/>
      </w:rPr>
      <w:pict>
        <v:shape id="_x0000_s4097" o:spid="_x0000_s4097" o:spt="202" type="#_x0000_t202" style="position:absolute;left:0pt;margin-left:486.65pt;margin-top:779.3pt;height:18pt;width:24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/>
                  <w:rPr>
                    <w:rFonts w:ascii="Segoe UI"/>
                    <w:sz w:val="24"/>
                  </w:rPr>
                </w:pPr>
                <w:r>
                  <w:rPr>
                    <w:rFonts w:ascii="Segoe UI"/>
                    <w:sz w:val="24"/>
                  </w:rPr>
                  <w:t xml:space="preserve">- </w:t>
                </w:r>
                <w:r>
                  <w:rPr>
                    <w:rFonts w:ascii="Segoe UI"/>
                    <w:sz w:val="24"/>
                  </w:rPr>
                  <w:fldChar w:fldCharType="begin"/>
                </w:r>
                <w:r>
                  <w:rPr>
                    <w:rFonts w:ascii="Segoe UI"/>
                    <w:sz w:val="24"/>
                  </w:rPr>
                  <w:instrText xml:space="preserve"> PAGE </w:instrText>
                </w:r>
                <w:r>
                  <w:rPr>
                    <w:rFonts w:ascii="Segoe UI"/>
                    <w:sz w:val="24"/>
                  </w:rPr>
                  <w:fldChar w:fldCharType="separate"/>
                </w:r>
                <w:r>
                  <w:rPr>
                    <w:rFonts w:ascii="Segoe UI"/>
                    <w:sz w:val="24"/>
                  </w:rPr>
                  <w:t>2</w:t>
                </w:r>
                <w:r>
                  <w:rPr>
                    <w:rFonts w:ascii="Segoe UI"/>
                    <w:sz w:val="24"/>
                  </w:rPr>
                  <w:fldChar w:fldCharType="end"/>
                </w:r>
                <w:r>
                  <w:rPr>
                    <w:rFonts w:ascii="Segoe UI"/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BA3"/>
    <w:rsid w:val="00145318"/>
    <w:rsid w:val="00276BA3"/>
    <w:rsid w:val="00395566"/>
    <w:rsid w:val="00397F41"/>
    <w:rsid w:val="003D7073"/>
    <w:rsid w:val="00407775"/>
    <w:rsid w:val="00492C5D"/>
    <w:rsid w:val="004B2139"/>
    <w:rsid w:val="0051760F"/>
    <w:rsid w:val="007007F8"/>
    <w:rsid w:val="0079575B"/>
    <w:rsid w:val="00946B09"/>
    <w:rsid w:val="00985827"/>
    <w:rsid w:val="00D56556"/>
    <w:rsid w:val="00E27D38"/>
    <w:rsid w:val="00EA2B31"/>
    <w:rsid w:val="00EF0C3F"/>
    <w:rsid w:val="0C290F8A"/>
    <w:rsid w:val="0EE84C93"/>
    <w:rsid w:val="4A472E93"/>
    <w:rsid w:val="51961B95"/>
    <w:rsid w:val="710447E2"/>
    <w:rsid w:val="788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ind w:left="728"/>
    </w:pPr>
    <w:rPr>
      <w:sz w:val="30"/>
      <w:szCs w:val="30"/>
    </w:rPr>
  </w:style>
  <w:style w:type="character" w:customStyle="1" w:styleId="5">
    <w:name w:val="Body Text Char"/>
    <w:basedOn w:val="4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table" w:customStyle="1" w:styleId="6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207</Words>
  <Characters>1185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2020-02-15T09:34:00Z</dcterms:created>
  <dc:creator>hl</dc:creator>
  <cp:lastModifiedBy>易小僧</cp:lastModifiedBy>
  <dcterms:modified xsi:type="dcterms:W3CDTF">2021-06-08T00:43:42Z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2052-11.1.0.10495</vt:lpwstr>
  </property>
  <property fmtid="{D5CDD505-2E9C-101B-9397-08002B2CF9AE}" pid="4" name="ICV">
    <vt:lpwstr>6548D4DA4F224B04817656EFEB5421A7</vt:lpwstr>
  </property>
</Properties>
</file>