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南县卫生和计划生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育综合监督执法局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2019年部门预算说明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200" w:firstLineChars="5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27" w:firstLineChars="196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1、职能职责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受县卫计局委托依法监督管理生活饮用水及涉水产品安全、医疗执业、传染病防治、母婴保健、计划生育监管、公共场所卫生、职业卫生、放射卫生、学校卫生和托幼机构卫生、社会抚养费征收；承担全县大型会议和大型活动的卫生安全保障工作；承担法律法规规定的其他职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共有各类被监督单位共2321家，其中：公共场所1058家、医疗机构（含医疗执业、传染病防治、放射卫生、计划生育、母婴保健等工作）600家、集中式供水单位38家、二次供水单位62家、学校（含托幼机构）363家、消毒产品经营单位200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机构设置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我局于2016年3月成立，属副科级公益一类事业单位，核定编制30人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。在职在编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名。借调和临时聘用人员共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人，其中全额事业编制4人，差额事业编制2人，自收自支1人，临时聘用人员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名，共计人员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全局共设有办公室、财务科、计划生育监督科、医疗执业监督科、公共场所监督科、生活饮用水及学校卫生监督科、政务服务科、卫生监督稽查科、信息科、局工会共计10个科室。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县卫计局在全县12个建制乡镇设立了卫生和计划生育执法监督所，作为卫生计生监督执法力量的补充，为我局直接业务管理单位，与我局共同完成法定工作职责。</w:t>
      </w:r>
    </w:p>
    <w:p>
      <w:pPr>
        <w:numPr>
          <w:ilvl w:val="0"/>
          <w:numId w:val="2"/>
        </w:numPr>
        <w:ind w:firstLine="1280" w:firstLineChars="40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部门预算单位构成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南县卫生和计划生育综合监督执法局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只有本级，没有其他二级预算单位，因此，纳入201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年部门预算编制范围的只有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南县卫生和计划生育综合监督执法局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27" w:firstLineChars="196"/>
        <w:jc w:val="left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收入预算，201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年年初预算数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328.6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万元，其中，一般公共预算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拨款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313.6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政府性基金预算拨款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管理的非税收入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上级补助收入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收入较去年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24.68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单位在职在编人员的增加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（二）支出预算，201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年年初预算数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328.6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一般公共服务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社会保保障和就业支出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50.53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医疗卫生与计划生育支出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261.39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住房保障支出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16.68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万元。支出较去年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24.68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万元，主要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是单位在职在编人员的增加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部门收支预算增减变动情况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收入较去年预算数增加 24.68万元，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增幅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8.12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，主要是单位在职在编人员的增加。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支出较去年预算数增加 24.68万元，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增幅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8.12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，主要是单位在职在编人员的增加。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、一般公共预算拨款支出预算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年一般公共预算拨款收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328.6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元，具体安排情况如下：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（一）基本支出：201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年年初预算数为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258.6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（二）项目支出：201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年年初预算数为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万元，是指单位为完成特定行政工作任务或事业发展目标而发生的支出，包括有关事业发展专项、专项业务费、基本建设支出、对市县专项补助等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公务接待费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3.65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专项商品和服务支出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66.35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万元，明细为：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卫计综合监督执法局、协管员及乡镇卫计执法监督所的工作人员培训费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、专项整治、检查工作和集体行动人员经费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、宣传费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、资料费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、快速检测试剂费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、卫计综合监督执法局和协管员及乡镇卫计执法监督所网络维护费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、打击“两非”案子行动经费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、社会抚养费征收专项经费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资本性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对附属单位补助支出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58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58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58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机关运行经费当年一般公共预算拨款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49.43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万元，比201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年预算增加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单位在职在编人员的增加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年“三公”经费预算数为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万元，其中，公务接待费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万元，公务用车购置及运行费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万元，因公出国（境）费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万元。201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年“三公”经费预算与201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年持平。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58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58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政府采购预算总额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：政府采购货物预算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万元、政府采购工程预算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万元、政府采购服务预算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国有资产占有使用情况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南县卫生和计划生育综合监督执法局共有国有资产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50.04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万元。一是房屋数量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栋，面积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平方米，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属政府拔给办公用房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电脑、打字机、复印机、传真机、空调等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设备数量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台，价值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39.53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 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办公桌椅、办公柜子、厨房器具等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张，价值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10.51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 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绩效目标情况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6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本单位2019年实现了部门整体绩效目标覆盖，无30万以上的重点专项支出。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69A49"/>
    <w:multiLevelType w:val="singleLevel"/>
    <w:tmpl w:val="5A269A4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26A475"/>
    <w:multiLevelType w:val="singleLevel"/>
    <w:tmpl w:val="5A26A475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5A2F4528"/>
    <w:multiLevelType w:val="singleLevel"/>
    <w:tmpl w:val="5A2F452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56882"/>
    <w:rsid w:val="0018282D"/>
    <w:rsid w:val="0125003D"/>
    <w:rsid w:val="035300CD"/>
    <w:rsid w:val="03C0219C"/>
    <w:rsid w:val="0B7925B8"/>
    <w:rsid w:val="1CCE73DA"/>
    <w:rsid w:val="236E7086"/>
    <w:rsid w:val="2F16142C"/>
    <w:rsid w:val="2F996016"/>
    <w:rsid w:val="35E07A73"/>
    <w:rsid w:val="38203D03"/>
    <w:rsid w:val="3957776D"/>
    <w:rsid w:val="43A93FF4"/>
    <w:rsid w:val="44D65AD1"/>
    <w:rsid w:val="45786617"/>
    <w:rsid w:val="49421743"/>
    <w:rsid w:val="49D34DA0"/>
    <w:rsid w:val="4D3A221C"/>
    <w:rsid w:val="4F785C1F"/>
    <w:rsid w:val="50E65925"/>
    <w:rsid w:val="593348A8"/>
    <w:rsid w:val="5B167E72"/>
    <w:rsid w:val="67A80A85"/>
    <w:rsid w:val="68B340B7"/>
    <w:rsid w:val="778039CF"/>
    <w:rsid w:val="7A6D54F7"/>
    <w:rsid w:val="7B356882"/>
    <w:rsid w:val="7BAD020E"/>
    <w:rsid w:val="7F654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06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2017-12-05T12:24:00Z</dcterms:created>
  <dc:creator>someone1370439269</dc:creator>
  <cp:lastModifiedBy>易小僧</cp:lastModifiedBy>
  <cp:lastPrinted>2019-03-12T04:37:00Z</cp:lastPrinted>
  <dcterms:modified xsi:type="dcterms:W3CDTF">2021-06-07T12:53:24Z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87ED6F8E598B4FD78C1084A3F07BBFDE</vt:lpwstr>
  </property>
</Properties>
</file>