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</w:rPr>
        <w:t>南县发展和改革局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南县发展和改革局现有干部职工 57 人，其中：公务员 21 人，事业人员 17 人，临时人员 1 人，退休干部 18 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负责编制、下达国民经济和社会发展主要指标计划及中长期规划；负责重点项目的申报和立项；负责以工代赈项目申报管理；负责教育、人口、文化、卫生、血防、体育、广播影视、民政、社会保障等社会发展事业项目的申报及管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（二）指导、协调、监督、管理本县的招投标工作。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（三）推进产业结构战略性调整的升级；研究并协调农业和农村经济社会发展的有关重大问题。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（四）负责全县工业企业技术改革投资的综合管理，牵头做好技术改造项目的前期论证工作，组织报批需国家、省、市发改委审批、核准的技术改造投资项目。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（五）承办全县国民经济动员、装备技术方面的有关工作。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（六）贯彻执行有关价格的法律、法规和政策。研究提出全县价格总水平的调控目标和价格调控措施，并负责组织实施和综合平衡，运用价格杠杆促进经济发展。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（七）依法组织全县工农产品、公用事业、公益性服务及部分行政成本费用的调研分析工作，分析、预测、监控市场行情和价格、收费动态，向有关方面提供调查、分析资料，提出相应的对策和建议。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（八）负责管理全县服务价格和行政事业性收费。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（九）依照管价权限，制定研究县管部分的服务价格和商品价格。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（十）依法对商品、服务价格和行政事业性收费进行监督检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查，制止乱涨价、乱收费；规范价格（收费）行为，维护公平竞争的价格秩序，对价格和收费违法违规行为实施行政处罚和行政强制措施；推行明码标价制度、收费公示制度和价格公共服务工作， 指导行业价格自律；健全对价格和收费行为的举报制度，指导价格、收费社会监督工作。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（十一）负责国家指定我县的专项农产品生产成本定点调查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和工农产品及服务价格成本监审工作。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（十三）协调处理部门间、行业间的价格矛盾；负责全县范围内的价格鉴证、价格评估、价格监测和价格信息服务工作。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内设职能科室 12 个。局属二级事业单位 2 个：重点项目办公室；价格认证中心。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内设机构为：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一）办公室（二）综合计划股（经济体制改革股）（三）基建项目股（县国民经济与装备动员办公室）（四）招标投标管理股（五）能源股（六）社会发展股（七）洞庭湖生态经济区发展股（地区经济和应对气候变化股）（八）资源节约和环境保护股（九）价格管理股（县价格成本调查队）（十）价格监督检查股（十一）政策法规股（十二） 优化经济发展环境股（十三）县价格认证中心（十四）县重点项目办公室。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发改局部门只有本级，没有其他二级预算单位，因此，纳入2019 年部门预算编制范围的只有发改局部门本级。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（一）收入预算，2019 年年初预算数 591.4 万元，其中，一般公共预算财政拨款 591.4 万元，纳入专户管理的非税收入 25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（二）支出预算，2019 年年初预算数 591.4 万元，其中，一般公共服务 391.21 万元，社会保保障和就业支出 159.31 万元,卫生健康支出 13.78 万元，住房保障支出 27.12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三、部门收支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预算增加变动</w:t>
      </w:r>
      <w:r>
        <w:rPr>
          <w:rFonts w:hint="default" w:ascii="Times New Roman" w:hAnsi="Times New Roman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cs="Times New Roman"/>
          <w:sz w:val="32"/>
          <w:szCs w:val="32"/>
        </w:rPr>
        <w:t>较去年预算数增加57.44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10.5%，</w:t>
      </w:r>
      <w:r>
        <w:rPr>
          <w:rFonts w:hint="default" w:ascii="Times New Roman" w:hAnsi="Times New Roman" w:cs="Times New Roman"/>
          <w:sz w:val="32"/>
          <w:szCs w:val="32"/>
        </w:rPr>
        <w:t>主要是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一般公共预算财政拨款收入增加。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cs="Times New Roman"/>
          <w:sz w:val="32"/>
          <w:szCs w:val="32"/>
        </w:rPr>
        <w:t>较去年预算数增加57.44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10.5%，</w:t>
      </w:r>
      <w:r>
        <w:rPr>
          <w:rFonts w:hint="default" w:ascii="Times New Roman" w:hAnsi="Times New Roman" w:cs="Times New Roman"/>
          <w:sz w:val="32"/>
          <w:szCs w:val="32"/>
        </w:rPr>
        <w:t>主要是人员工资和公用经费的增加。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年一般公共预算拨款收入 591.4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（一）基本支出：2019 年初预算数为 479.9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（二）项目支出：2019 年年初预算数为 111.5 万元。其中：公务接待费 11.66 万元；专项商品和服务支出 99.84 万元，明细为：立项争资 29 万元，重点项目建设 23 万元，两型办 8 万元，优办 7万元，洞庭湖治理经费 3.84 万元，中小项目前期工作经费 29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年本部门机关运行经费当年一般公共预算拨款 45.6万元，比 2018 年预算增加 3.6 万元，上升 9 %。主要是单位编内在职人员增加 3 人公务费预算额度增加。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 xml:space="preserve"> 年“三公”经费预算数为 14.58 万元，其中，公务接待费14.58 万元，公务用车购置及运行费 0 万元，因公出国（境）费 0 万元。2019 年“三公”经费预算较 2018 年减少 2.92 万元，主要是自然减少。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年没有安排政府采购。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南县发改局共有国有资产 55.64 万元。一是办公设备 72 件，价值 39.02 万元；二是办公桌椅 115 件，价值 16.62 万元。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5、绩效目标情况本单位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年实现了部门支出整体绩效目标覆盖，无 30 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sectPr>
      <w:pgSz w:w="11910" w:h="16840"/>
      <w:pgMar w:top="1580" w:right="1500" w:bottom="1701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03AE7"/>
    <w:rsid w:val="373A7CCC"/>
    <w:rsid w:val="65E73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39" w:lineRule="exact"/>
      <w:ind w:left="716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1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2020-02-16T04:54:00Z</dcterms:created>
  <dc:creator>someone1370439269</dc:creator>
  <cp:lastModifiedBy>恬哥哥</cp:lastModifiedBy>
  <dcterms:modified xsi:type="dcterms:W3CDTF">2021-05-28T07:50:39Z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2020-02-16T00:00:00Z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609B3142B5B9437AA42C0EFD7AF8AF24</vt:lpwstr>
  </property>
</Properties>
</file>