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900" w:lineRule="atLeast"/>
        <w:jc w:val="center"/>
        <w:outlineLvl w:val="0"/>
        <w:rPr>
          <w:rFonts w:ascii="微软雅黑" w:hAnsi="微软雅黑" w:eastAsia="微软雅黑" w:cs="宋体"/>
          <w:b/>
          <w:bCs/>
          <w:color w:val="333333"/>
          <w:kern w:val="36"/>
          <w:sz w:val="28"/>
          <w:szCs w:val="28"/>
        </w:rPr>
      </w:pPr>
      <w:r>
        <w:rPr>
          <w:rFonts w:hint="eastAsia" w:ascii="微软雅黑" w:hAnsi="微软雅黑" w:eastAsia="微软雅黑" w:cs="宋体"/>
          <w:b/>
          <w:bCs/>
          <w:color w:val="333333"/>
          <w:kern w:val="36"/>
          <w:sz w:val="28"/>
          <w:szCs w:val="28"/>
        </w:rPr>
        <w:t>南县文化体育广电新闻出版局2018年度南县</w:t>
      </w:r>
      <w:r>
        <w:rPr>
          <w:rFonts w:hint="eastAsia" w:ascii="微软雅黑" w:hAnsi="微软雅黑" w:eastAsia="微软雅黑" w:cs="宋体"/>
          <w:b/>
          <w:bCs/>
          <w:color w:val="333333"/>
          <w:kern w:val="36"/>
          <w:sz w:val="28"/>
          <w:szCs w:val="28"/>
          <w:lang w:eastAsia="zh-CN"/>
        </w:rPr>
        <w:t>厂窖惨案纪念馆</w:t>
      </w:r>
      <w:r>
        <w:rPr>
          <w:rFonts w:hint="eastAsia" w:ascii="微软雅黑" w:hAnsi="微软雅黑" w:eastAsia="微软雅黑" w:cs="宋体"/>
          <w:b/>
          <w:bCs/>
          <w:color w:val="333333"/>
          <w:kern w:val="36"/>
          <w:sz w:val="28"/>
          <w:szCs w:val="28"/>
        </w:rPr>
        <w:t>项目</w:t>
      </w:r>
    </w:p>
    <w:p>
      <w:pPr>
        <w:shd w:val="clear" w:color="auto" w:fill="FFFFFF"/>
        <w:spacing w:line="900" w:lineRule="atLeast"/>
        <w:jc w:val="center"/>
        <w:outlineLvl w:val="0"/>
        <w:rPr>
          <w:rFonts w:ascii="微软雅黑" w:hAnsi="微软雅黑" w:eastAsia="微软雅黑" w:cs="宋体"/>
          <w:b/>
          <w:bCs/>
          <w:color w:val="333333"/>
          <w:kern w:val="36"/>
          <w:sz w:val="36"/>
          <w:szCs w:val="36"/>
        </w:rPr>
      </w:pPr>
      <w:r>
        <w:rPr>
          <w:rFonts w:hint="eastAsia" w:ascii="微软雅黑" w:hAnsi="微软雅黑" w:eastAsia="微软雅黑" w:cs="宋体"/>
          <w:b/>
          <w:bCs/>
          <w:color w:val="333333"/>
          <w:kern w:val="36"/>
          <w:sz w:val="36"/>
          <w:szCs w:val="36"/>
          <w:lang w:eastAsia="zh-CN"/>
        </w:rPr>
        <w:t>专项</w:t>
      </w:r>
      <w:r>
        <w:rPr>
          <w:rFonts w:hint="eastAsia" w:ascii="微软雅黑" w:hAnsi="微软雅黑" w:eastAsia="微软雅黑" w:cs="宋体"/>
          <w:b/>
          <w:bCs/>
          <w:color w:val="333333"/>
          <w:kern w:val="36"/>
          <w:sz w:val="36"/>
          <w:szCs w:val="36"/>
        </w:rPr>
        <w:t>资金绩效评价报告</w:t>
      </w:r>
    </w:p>
    <w:p>
      <w:pPr>
        <w:shd w:val="clear" w:color="auto" w:fill="FFFFFF"/>
        <w:spacing w:line="450" w:lineRule="atLeast"/>
        <w:ind w:firstLine="2160" w:firstLineChars="800"/>
        <w:rPr>
          <w:rFonts w:hint="default" w:ascii="微软雅黑" w:hAnsi="微软雅黑" w:eastAsia="微软雅黑" w:cs="宋体"/>
          <w:bCs/>
          <w:color w:val="333333"/>
          <w:kern w:val="0"/>
          <w:sz w:val="27"/>
          <w:szCs w:val="27"/>
          <w:lang w:val="en-US" w:eastAsia="zh-CN"/>
        </w:rPr>
      </w:pPr>
      <w:bookmarkStart w:id="0" w:name="_GoBack"/>
      <w:bookmarkEnd w:id="0"/>
      <w:r>
        <w:rPr>
          <w:rFonts w:hint="eastAsia" w:ascii="微软雅黑" w:hAnsi="微软雅黑" w:eastAsia="微软雅黑" w:cs="宋体"/>
          <w:bCs/>
          <w:color w:val="333333"/>
          <w:kern w:val="0"/>
          <w:sz w:val="27"/>
          <w:szCs w:val="27"/>
        </w:rPr>
        <w:t>湖南新财苑会计师事务所</w:t>
      </w:r>
      <w:r>
        <w:rPr>
          <w:rFonts w:hint="eastAsia" w:ascii="微软雅黑" w:hAnsi="微软雅黑" w:eastAsia="微软雅黑" w:cs="宋体"/>
          <w:bCs/>
          <w:color w:val="333333"/>
          <w:kern w:val="0"/>
          <w:sz w:val="27"/>
          <w:szCs w:val="27"/>
          <w:lang w:eastAsia="zh-CN"/>
        </w:rPr>
        <w:t>有限公司</w:t>
      </w:r>
      <w:r>
        <w:rPr>
          <w:rFonts w:hint="eastAsia" w:ascii="微软雅黑" w:hAnsi="微软雅黑" w:eastAsia="微软雅黑" w:cs="宋体"/>
          <w:bCs/>
          <w:color w:val="333333"/>
          <w:kern w:val="0"/>
          <w:sz w:val="27"/>
          <w:szCs w:val="27"/>
          <w:lang w:val="en-US" w:eastAsia="zh-CN"/>
        </w:rPr>
        <w:t xml:space="preserve"> </w:t>
      </w:r>
    </w:p>
    <w:p>
      <w:pPr>
        <w:ind w:firstLine="750" w:firstLineChars="250"/>
        <w:rPr>
          <w:rFonts w:ascii="仿宋" w:hAnsi="仿宋" w:eastAsia="仿宋"/>
          <w:sz w:val="30"/>
          <w:szCs w:val="30"/>
        </w:rPr>
      </w:pPr>
      <w:r>
        <w:rPr>
          <w:rFonts w:hint="eastAsia" w:ascii="仿宋" w:hAnsi="仿宋" w:eastAsia="仿宋"/>
          <w:sz w:val="30"/>
          <w:szCs w:val="30"/>
        </w:rPr>
        <w:t>为进一步规范财政资金管理，强化财政资金支出绩效理念，切实提高财政资金使用效益，根据《中共中央 国务院关于全面实施预算绩效管理的意见》（中发〔2018〕34号）、《预算绩效管理工作考核办法》（湘财绩〔2015〕15号）和《省财政厅2019年工作规划》等文件要求，受南县财政局的委托，我所成立专项资金绩效评价工作组，于2019年4月26日—7月5日对2018年度对南县文化体育广电新闻出版局2018年厂窖惨案纪念馆专项工作经费（以下简称项目资金）开展了绩效评价。现将有关情况报告如下：</w:t>
      </w:r>
    </w:p>
    <w:p>
      <w:pPr>
        <w:pStyle w:val="7"/>
        <w:ind w:firstLine="803" w:firstLineChars="250"/>
        <w:rPr>
          <w:b/>
          <w:sz w:val="32"/>
          <w:szCs w:val="32"/>
        </w:rPr>
      </w:pPr>
      <w:r>
        <w:rPr>
          <w:rFonts w:hint="eastAsia"/>
          <w:b/>
          <w:sz w:val="32"/>
          <w:szCs w:val="32"/>
        </w:rPr>
        <w:t>一、基本情况</w:t>
      </w:r>
    </w:p>
    <w:p>
      <w:pPr>
        <w:pStyle w:val="4"/>
        <w:shd w:val="clear" w:color="auto" w:fill="FFFFFF"/>
        <w:spacing w:before="0" w:beforeAutospacing="0" w:after="0" w:afterAutospacing="0"/>
        <w:ind w:firstLine="482"/>
        <w:rPr>
          <w:rFonts w:hint="eastAsia" w:ascii="仿宋" w:hAnsi="仿宋" w:eastAsia="仿宋"/>
          <w:sz w:val="30"/>
          <w:szCs w:val="30"/>
          <w:lang w:val="en-US" w:eastAsia="zh-CN"/>
        </w:rPr>
      </w:pPr>
      <w:r>
        <w:rPr>
          <w:rFonts w:hint="eastAsia" w:ascii="仿宋" w:hAnsi="仿宋" w:eastAsia="仿宋"/>
          <w:sz w:val="30"/>
          <w:szCs w:val="30"/>
        </w:rPr>
        <w:t>（一）项目单位基本情况。</w:t>
      </w:r>
      <w:r>
        <w:rPr>
          <w:rFonts w:hint="eastAsia" w:ascii="仿宋" w:hAnsi="仿宋" w:eastAsia="仿宋"/>
          <w:sz w:val="30"/>
          <w:szCs w:val="30"/>
          <w:lang w:eastAsia="zh-CN"/>
        </w:rPr>
        <w:t>根据《中共南县县委南县人民政府关于印发</w:t>
      </w:r>
      <w:r>
        <w:rPr>
          <w:rFonts w:hint="eastAsia" w:ascii="仿宋" w:hAnsi="仿宋" w:eastAsia="仿宋"/>
          <w:sz w:val="30"/>
          <w:szCs w:val="30"/>
          <w:lang w:val="en-US" w:eastAsia="zh-CN"/>
        </w:rPr>
        <w:t>&lt;南县人民政府职能转变和机构改革方案的实施意见&gt;的通知</w:t>
      </w:r>
      <w:r>
        <w:rPr>
          <w:rFonts w:hint="eastAsia" w:ascii="仿宋" w:hAnsi="仿宋" w:eastAsia="仿宋"/>
          <w:sz w:val="30"/>
          <w:szCs w:val="30"/>
          <w:lang w:eastAsia="zh-CN"/>
        </w:rPr>
        <w:t>》</w:t>
      </w:r>
      <w:r>
        <w:rPr>
          <w:rFonts w:hint="eastAsia" w:ascii="仿宋" w:hAnsi="仿宋" w:eastAsia="仿宋"/>
          <w:sz w:val="30"/>
          <w:szCs w:val="30"/>
          <w:lang w:val="en-US" w:eastAsia="zh-CN"/>
        </w:rPr>
        <w:t>(南发[2015]11号)，设立南县文化体育广电新闻出版局，挂南县旅游局的牌子，隶属南县人民政府工作部门。</w:t>
      </w:r>
      <w:r>
        <w:rPr>
          <w:rFonts w:hint="eastAsia" w:ascii="仿宋" w:hAnsi="仿宋" w:eastAsia="仿宋"/>
          <w:sz w:val="30"/>
          <w:szCs w:val="30"/>
          <w:lang w:eastAsia="zh-CN"/>
        </w:rPr>
        <w:t>主要职责为：贯彻执行有关文化艺术、体育、广播电影电视、新闻出版、旅游、版权工作的法律法规和方针政策，把握正确的舆论导向和创作导向；推进文化体育广电新闻出版领域的公共文化服务，规划、引导公共文化产品生产，构建公共文化服务体系；指导管理全县文化艺术、体育、广播电影电视、新闻出版、旅游、版权事业；监督、指导全县文物保护工作；推行全民健身计划，指导开展群众体育活动，执行国家体育锻炼标准，组织开展健康体质监测；统筹规划竞技体育发展，研究和平衡全县性体育竞赛、全县竞技运动项目与重点布局；组织开展体育领域的科研活动及成果推广，负责组织、协调、监督体育运动中的反兴奋剂工作；指导全县文化市场综合行政执法工作；承办县委、县政府交办的其他事项。内设：办公室、综合文化股、体育管理股、旅游管理股、法制股、财务股、人事股</w:t>
      </w:r>
      <w:r>
        <w:rPr>
          <w:rFonts w:hint="eastAsia" w:ascii="仿宋" w:hAnsi="仿宋" w:eastAsia="仿宋"/>
          <w:sz w:val="30"/>
          <w:szCs w:val="30"/>
          <w:lang w:val="en-US" w:eastAsia="zh-CN"/>
        </w:rPr>
        <w:t>7个股室。</w:t>
      </w:r>
      <w:r>
        <w:rPr>
          <w:rFonts w:hint="eastAsia" w:ascii="仿宋" w:hAnsi="仿宋" w:eastAsia="仿宋"/>
          <w:sz w:val="30"/>
          <w:szCs w:val="30"/>
          <w:lang w:eastAsia="zh-CN"/>
        </w:rPr>
        <w:t>总编制为</w:t>
      </w:r>
      <w:r>
        <w:rPr>
          <w:rFonts w:hint="eastAsia" w:ascii="仿宋" w:hAnsi="仿宋" w:eastAsia="仿宋"/>
          <w:sz w:val="30"/>
          <w:szCs w:val="30"/>
          <w:lang w:val="en-US" w:eastAsia="zh-CN"/>
        </w:rPr>
        <w:t>37个，其中行政编13个（其中：局长1名，副局长3名，纪检组长1名，总工程师1名）、工勤编1名、事业编23个。</w:t>
      </w:r>
    </w:p>
    <w:p>
      <w:pPr>
        <w:pStyle w:val="4"/>
        <w:shd w:val="clear" w:color="auto" w:fill="FFFFFF"/>
        <w:spacing w:before="0" w:beforeAutospacing="0" w:after="0" w:afterAutospacing="0"/>
        <w:ind w:firstLine="482"/>
        <w:rPr>
          <w:rFonts w:hint="eastAsia" w:ascii="仿宋" w:hAnsi="仿宋" w:eastAsia="仿宋"/>
          <w:sz w:val="30"/>
          <w:szCs w:val="30"/>
          <w:lang w:val="en-US" w:eastAsia="zh-CN"/>
        </w:rPr>
      </w:pPr>
      <w:r>
        <w:rPr>
          <w:rFonts w:hint="eastAsia" w:ascii="仿宋" w:hAnsi="仿宋" w:eastAsia="仿宋"/>
          <w:sz w:val="30"/>
          <w:szCs w:val="30"/>
        </w:rPr>
        <w:t>（二）项目基本情况。</w:t>
      </w:r>
      <w:r>
        <w:rPr>
          <w:rFonts w:hint="eastAsia" w:ascii="仿宋" w:hAnsi="仿宋" w:eastAsia="仿宋"/>
          <w:sz w:val="30"/>
          <w:szCs w:val="30"/>
          <w:lang w:eastAsia="zh-CN"/>
        </w:rPr>
        <w:t>厂窖惨案遇难同胞纪念馆始建于</w:t>
      </w:r>
      <w:r>
        <w:rPr>
          <w:rFonts w:hint="eastAsia" w:ascii="仿宋" w:hAnsi="仿宋" w:eastAsia="仿宋"/>
          <w:sz w:val="30"/>
          <w:szCs w:val="30"/>
          <w:lang w:val="en-US" w:eastAsia="zh-CN"/>
        </w:rPr>
        <w:t>2010年8月，是以全国第二大日军侵华惨案--厂窖惨案为背景的省爱国主义教育基地。景区与2012年成功创建为国家AAA级旅游景区，2013年5月，厂窖惨案遗址被国务院核准公布为国家级重点文物保护单位。2014年9月1日，厂窖惨案遇难同胞纪念碑和纪念馆成为首批国家级抗战纪念设施遗址名录，2017年厂窖惨案遇难同胞纪念馆被中宣部命名为全国爱国主义教育示范基地。厂窖纪念馆是党和政府的加强政治宣传、开展红色教育、加强与群众联系的有效工具,也是还原历史事实、反映历史过程的重要手段。同时,基本陈列还能很好地促进当地文化产业的发展，为使纪念馆正常运转，维护好秩序，南县文化体育广电新闻出版局将纪念馆服务外包。</w:t>
      </w:r>
    </w:p>
    <w:p>
      <w:pPr>
        <w:pStyle w:val="4"/>
        <w:shd w:val="clear" w:color="auto" w:fill="FFFFFF"/>
        <w:spacing w:before="0" w:beforeAutospacing="0" w:after="0" w:afterAutospacing="0"/>
        <w:ind w:firstLine="482"/>
        <w:rPr>
          <w:rFonts w:hint="default" w:ascii="仿宋" w:hAnsi="仿宋" w:eastAsia="仿宋"/>
          <w:sz w:val="30"/>
          <w:szCs w:val="30"/>
          <w:lang w:val="en-US" w:eastAsia="zh-CN"/>
        </w:rPr>
      </w:pPr>
      <w:r>
        <w:rPr>
          <w:rFonts w:hint="eastAsia" w:ascii="仿宋" w:hAnsi="仿宋" w:eastAsia="仿宋"/>
          <w:sz w:val="30"/>
          <w:szCs w:val="30"/>
        </w:rPr>
        <w:t>（三）绩效目标完成情况。</w:t>
      </w:r>
      <w:r>
        <w:rPr>
          <w:rFonts w:hint="eastAsia" w:ascii="仿宋" w:hAnsi="仿宋" w:eastAsia="仿宋"/>
          <w:sz w:val="30"/>
          <w:szCs w:val="30"/>
          <w:lang w:eastAsia="zh-CN"/>
        </w:rPr>
        <w:t>厂窖惨案遇难同胞纪念馆专项委托于南县国盛物业管理有限责任公司对纪念馆及园区物业进行管理，并制定了相应的管理制度，项目内容包括纪念馆、游客服务中心及园区内所有公共区域卫生保洁、安全保卫、水电和公共设备设施维修、园区园林绿化。厂窖纪念馆委托南县国盛物业管理有限责任公司对纪念包进行物业管理后，纪念馆环境卫生得到了改善，让参观的游客有一个舒适干净的游览场所；加强了治安管理防范，杜绝了安全事故的发生；提高了纪念馆整体服务水平，得到了社会各界的一致认可和好评，参观人数因此大幅提升</w:t>
      </w:r>
      <w:r>
        <w:rPr>
          <w:rFonts w:hint="eastAsia" w:ascii="仿宋" w:hAnsi="仿宋" w:eastAsia="仿宋"/>
          <w:sz w:val="30"/>
          <w:szCs w:val="30"/>
          <w:lang w:val="en-US" w:eastAsia="zh-CN"/>
        </w:rPr>
        <w:t xml:space="preserve"> ，充分发挥了爱国主义教育基地、红色旅游的功能和作用。</w:t>
      </w:r>
    </w:p>
    <w:p>
      <w:pPr>
        <w:ind w:firstLine="643" w:firstLineChars="200"/>
        <w:rPr>
          <w:rFonts w:hint="eastAsia" w:asciiTheme="majorEastAsia" w:hAnsiTheme="majorEastAsia" w:eastAsiaTheme="majorEastAsia"/>
          <w:b/>
          <w:sz w:val="32"/>
          <w:szCs w:val="32"/>
        </w:rPr>
      </w:pPr>
      <w:r>
        <w:rPr>
          <w:rFonts w:hint="eastAsia" w:asciiTheme="majorEastAsia" w:hAnsiTheme="majorEastAsia" w:eastAsiaTheme="majorEastAsia"/>
          <w:b/>
          <w:sz w:val="32"/>
          <w:szCs w:val="32"/>
        </w:rPr>
        <w:t>二、项目资金使用及管理情况</w:t>
      </w:r>
    </w:p>
    <w:p>
      <w:pPr>
        <w:ind w:firstLine="600" w:firstLineChars="200"/>
        <w:rPr>
          <w:rFonts w:hint="eastAsia" w:ascii="仿宋" w:hAnsi="仿宋" w:eastAsia="仿宋"/>
          <w:sz w:val="30"/>
          <w:szCs w:val="30"/>
          <w:lang w:val="en-US" w:eastAsia="zh-CN"/>
        </w:rPr>
      </w:pPr>
      <w:r>
        <w:rPr>
          <w:rFonts w:hint="eastAsia" w:ascii="仿宋" w:hAnsi="仿宋" w:eastAsia="仿宋"/>
          <w:sz w:val="30"/>
          <w:szCs w:val="30"/>
        </w:rPr>
        <w:t>（一）项目资金到位</w:t>
      </w:r>
      <w:r>
        <w:rPr>
          <w:rFonts w:hint="eastAsia" w:ascii="仿宋" w:hAnsi="仿宋" w:eastAsia="仿宋"/>
          <w:sz w:val="30"/>
          <w:szCs w:val="30"/>
          <w:lang w:eastAsia="zh-CN"/>
        </w:rPr>
        <w:t>及使用情况</w:t>
      </w:r>
      <w:r>
        <w:rPr>
          <w:rFonts w:hint="eastAsia" w:ascii="仿宋" w:hAnsi="仿宋" w:eastAsia="仿宋"/>
          <w:sz w:val="30"/>
          <w:szCs w:val="30"/>
        </w:rPr>
        <w:t>情况。南县文化体育广电新闻出版局2018年县本级预算安排</w:t>
      </w:r>
      <w:r>
        <w:rPr>
          <w:rFonts w:hint="eastAsia" w:ascii="仿宋" w:hAnsi="仿宋" w:eastAsia="仿宋"/>
          <w:sz w:val="30"/>
          <w:szCs w:val="30"/>
          <w:lang w:eastAsia="zh-CN"/>
        </w:rPr>
        <w:t>厂窖惨案纪念馆服务外包</w:t>
      </w:r>
      <w:r>
        <w:rPr>
          <w:rFonts w:hint="eastAsia" w:ascii="仿宋" w:hAnsi="仿宋" w:eastAsia="仿宋"/>
          <w:sz w:val="30"/>
          <w:szCs w:val="30"/>
        </w:rPr>
        <w:t>专项费用</w:t>
      </w:r>
      <w:r>
        <w:rPr>
          <w:rFonts w:hint="eastAsia" w:ascii="仿宋" w:hAnsi="仿宋" w:eastAsia="仿宋"/>
          <w:sz w:val="30"/>
          <w:szCs w:val="30"/>
          <w:lang w:val="en-US" w:eastAsia="zh-CN"/>
        </w:rPr>
        <w:t>470,768.00</w:t>
      </w:r>
      <w:r>
        <w:rPr>
          <w:rFonts w:hint="eastAsia" w:ascii="仿宋" w:hAnsi="仿宋" w:eastAsia="仿宋"/>
          <w:sz w:val="30"/>
          <w:szCs w:val="30"/>
        </w:rPr>
        <w:t>元，由县本级财政全额拨款。</w:t>
      </w:r>
      <w:r>
        <w:rPr>
          <w:rFonts w:hint="eastAsia" w:ascii="仿宋" w:hAnsi="仿宋" w:eastAsia="仿宋"/>
          <w:sz w:val="30"/>
          <w:szCs w:val="30"/>
          <w:lang w:eastAsia="zh-CN"/>
        </w:rPr>
        <w:t>该项目</w:t>
      </w:r>
      <w:r>
        <w:rPr>
          <w:rFonts w:hint="eastAsia" w:ascii="仿宋" w:hAnsi="仿宋" w:eastAsia="仿宋"/>
          <w:sz w:val="30"/>
          <w:szCs w:val="30"/>
        </w:rPr>
        <w:t>实际</w:t>
      </w:r>
      <w:r>
        <w:rPr>
          <w:rFonts w:hint="eastAsia" w:ascii="仿宋" w:hAnsi="仿宋" w:eastAsia="仿宋"/>
          <w:sz w:val="30"/>
          <w:szCs w:val="30"/>
          <w:lang w:eastAsia="zh-CN"/>
        </w:rPr>
        <w:t>使用资金</w:t>
      </w:r>
      <w:r>
        <w:rPr>
          <w:rFonts w:hint="eastAsia" w:ascii="仿宋" w:hAnsi="仿宋" w:eastAsia="仿宋"/>
          <w:sz w:val="30"/>
          <w:szCs w:val="30"/>
          <w:lang w:val="en-US" w:eastAsia="zh-CN"/>
        </w:rPr>
        <w:t>470,768.00</w:t>
      </w:r>
      <w:r>
        <w:rPr>
          <w:rFonts w:hint="eastAsia" w:ascii="仿宋" w:hAnsi="仿宋" w:eastAsia="仿宋"/>
          <w:sz w:val="30"/>
          <w:szCs w:val="30"/>
        </w:rPr>
        <w:t>元</w:t>
      </w:r>
      <w:r>
        <w:rPr>
          <w:rFonts w:hint="eastAsia" w:ascii="仿宋" w:hAnsi="仿宋" w:eastAsia="仿宋"/>
          <w:sz w:val="30"/>
          <w:szCs w:val="30"/>
          <w:lang w:eastAsia="zh-CN"/>
        </w:rPr>
        <w:t>：其中</w:t>
      </w:r>
      <w:r>
        <w:rPr>
          <w:rFonts w:hint="eastAsia" w:ascii="仿宋" w:hAnsi="仿宋" w:eastAsia="仿宋"/>
          <w:sz w:val="30"/>
          <w:szCs w:val="30"/>
          <w:lang w:val="en-US" w:eastAsia="zh-CN"/>
        </w:rPr>
        <w:t>2018年拔付353,076.00元、2019年元月拔付117,692.00元，资金使用率为100.36%，2018年下拨率75.00%。资金由财政局每2个月下达一次指标，南县文化体育广电新闻出版局用的时候再申请拨付预算金额，资金已全部下拨，下拨率100%，项目开支明细如下：</w:t>
      </w:r>
    </w:p>
    <w:tbl>
      <w:tblPr>
        <w:tblStyle w:val="5"/>
        <w:tblW w:w="10185" w:type="dxa"/>
        <w:tblInd w:w="-722" w:type="dxa"/>
        <w:shd w:val="clear" w:color="auto" w:fill="auto"/>
        <w:tblLayout w:type="fixed"/>
        <w:tblCellMar>
          <w:top w:w="0" w:type="dxa"/>
          <w:left w:w="0" w:type="dxa"/>
          <w:bottom w:w="0" w:type="dxa"/>
          <w:right w:w="0" w:type="dxa"/>
        </w:tblCellMar>
      </w:tblPr>
      <w:tblGrid>
        <w:gridCol w:w="1095"/>
        <w:gridCol w:w="750"/>
        <w:gridCol w:w="1485"/>
        <w:gridCol w:w="1245"/>
        <w:gridCol w:w="1230"/>
        <w:gridCol w:w="1515"/>
        <w:gridCol w:w="2865"/>
      </w:tblGrid>
      <w:tr>
        <w:tblPrEx>
          <w:shd w:val="clear" w:color="auto" w:fill="auto"/>
          <w:tblLayout w:type="fixed"/>
          <w:tblCellMar>
            <w:top w:w="0" w:type="dxa"/>
            <w:left w:w="0" w:type="dxa"/>
            <w:bottom w:w="0" w:type="dxa"/>
            <w:right w:w="0" w:type="dxa"/>
          </w:tblCellMar>
        </w:tblPrEx>
        <w:trPr>
          <w:trHeight w:val="400" w:hRule="atLeast"/>
        </w:trPr>
        <w:tc>
          <w:tcPr>
            <w:tcW w:w="457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财政下拨资金情况</w:t>
            </w:r>
          </w:p>
        </w:tc>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项目资金使用情况</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财务记账科目</w:t>
            </w:r>
          </w:p>
        </w:tc>
      </w:tr>
      <w:tr>
        <w:tblPrEx>
          <w:tblLayout w:type="fixed"/>
          <w:tblCellMar>
            <w:top w:w="0" w:type="dxa"/>
            <w:left w:w="0" w:type="dxa"/>
            <w:bottom w:w="0" w:type="dxa"/>
            <w:right w:w="0" w:type="dxa"/>
          </w:tblCellMar>
        </w:tblPrEx>
        <w:trPr>
          <w:trHeight w:val="660" w:hRule="atLeast"/>
        </w:trPr>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日期</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经济分类</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用途</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使用资金发票项目</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w:t>
            </w: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9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2018-05-23</w:t>
            </w:r>
          </w:p>
        </w:tc>
        <w:tc>
          <w:tcPr>
            <w:tcW w:w="750"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其他商品和服务支出</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文化专项</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117,692.00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物业管理</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64,772.00</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事业支出-其他资金支出-项目支出-商品服务支出-物业管理费</w:t>
            </w:r>
          </w:p>
        </w:tc>
      </w:tr>
      <w:tr>
        <w:tblPrEx>
          <w:tblLayout w:type="fixed"/>
          <w:tblCellMar>
            <w:top w:w="0" w:type="dxa"/>
            <w:left w:w="0" w:type="dxa"/>
            <w:bottom w:w="0" w:type="dxa"/>
            <w:right w:w="0" w:type="dxa"/>
          </w:tblCellMar>
        </w:tblPrEx>
        <w:trPr>
          <w:trHeight w:val="400" w:hRule="atLeast"/>
        </w:trPr>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75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保安服务费</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52,920.00</w:t>
            </w: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9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2018-10-11</w:t>
            </w:r>
          </w:p>
        </w:tc>
        <w:tc>
          <w:tcPr>
            <w:tcW w:w="75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厂窖纪念馆服务外包干经费</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235,384.00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保安服务费</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105,840.00</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事业支出-其他资金支出-项目支出-商品服务支出-委托业务费</w:t>
            </w:r>
          </w:p>
        </w:tc>
      </w:tr>
      <w:tr>
        <w:tblPrEx>
          <w:tblLayout w:type="fixed"/>
          <w:tblCellMar>
            <w:top w:w="0" w:type="dxa"/>
            <w:left w:w="0" w:type="dxa"/>
            <w:bottom w:w="0" w:type="dxa"/>
            <w:right w:w="0" w:type="dxa"/>
          </w:tblCellMar>
        </w:tblPrEx>
        <w:trPr>
          <w:trHeight w:val="400" w:hRule="atLeast"/>
        </w:trPr>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75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物业管理</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129,544.00</w:t>
            </w: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9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2019-01-11</w:t>
            </w:r>
          </w:p>
        </w:tc>
        <w:tc>
          <w:tcPr>
            <w:tcW w:w="75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2018年度省级体育彩票公益金</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117,692.00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物业管理</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64,772.00</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未记账</w:t>
            </w:r>
          </w:p>
        </w:tc>
      </w:tr>
      <w:tr>
        <w:tblPrEx>
          <w:tblLayout w:type="fixed"/>
          <w:tblCellMar>
            <w:top w:w="0" w:type="dxa"/>
            <w:left w:w="0" w:type="dxa"/>
            <w:bottom w:w="0" w:type="dxa"/>
            <w:right w:w="0" w:type="dxa"/>
          </w:tblCellMar>
        </w:tblPrEx>
        <w:trPr>
          <w:trHeight w:val="620" w:hRule="atLeast"/>
        </w:trPr>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75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保安服务费</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52,920.00</w:t>
            </w: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470,768.00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470,768.00</w:t>
            </w:r>
          </w:p>
        </w:tc>
        <w:tc>
          <w:tcPr>
            <w:tcW w:w="28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0"/>
                <w:szCs w:val="20"/>
                <w:u w:val="none"/>
              </w:rPr>
            </w:pPr>
          </w:p>
        </w:tc>
      </w:tr>
    </w:tbl>
    <w:p>
      <w:pPr>
        <w:ind w:firstLine="600" w:firstLineChars="200"/>
        <w:rPr>
          <w:rFonts w:hint="eastAsia"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lang w:eastAsia="zh-CN"/>
          <w14:textFill>
            <w14:solidFill>
              <w14:schemeClr w14:val="tx1"/>
            </w14:solidFill>
          </w14:textFill>
        </w:rPr>
        <w:t>（二）</w:t>
      </w:r>
      <w:r>
        <w:rPr>
          <w:rFonts w:hint="eastAsia" w:ascii="仿宋" w:hAnsi="仿宋" w:eastAsia="仿宋"/>
          <w:color w:val="000000" w:themeColor="text1"/>
          <w:sz w:val="30"/>
          <w:szCs w:val="30"/>
          <w14:textFill>
            <w14:solidFill>
              <w14:schemeClr w14:val="tx1"/>
            </w14:solidFill>
          </w14:textFill>
        </w:rPr>
        <w:t>项目资金管理情况。</w:t>
      </w:r>
      <w:r>
        <w:rPr>
          <w:rFonts w:hint="eastAsia" w:ascii="仿宋" w:hAnsi="仿宋" w:eastAsia="仿宋"/>
          <w:sz w:val="30"/>
          <w:szCs w:val="30"/>
        </w:rPr>
        <w:t>项目资金由</w:t>
      </w:r>
      <w:r>
        <w:rPr>
          <w:rFonts w:hint="eastAsia" w:ascii="仿宋" w:hAnsi="仿宋" w:eastAsia="仿宋"/>
          <w:sz w:val="30"/>
          <w:szCs w:val="30"/>
          <w:lang w:eastAsia="zh-CN"/>
        </w:rPr>
        <w:t>南县文化体育广电新闻出版局向南县财政局申请拨款，再由南县</w:t>
      </w:r>
      <w:r>
        <w:rPr>
          <w:rFonts w:hint="eastAsia" w:ascii="仿宋" w:hAnsi="仿宋" w:eastAsia="仿宋"/>
          <w:sz w:val="30"/>
          <w:szCs w:val="30"/>
        </w:rPr>
        <w:t>财政局</w:t>
      </w:r>
      <w:r>
        <w:rPr>
          <w:rFonts w:hint="eastAsia" w:ascii="仿宋" w:hAnsi="仿宋" w:eastAsia="仿宋"/>
          <w:sz w:val="30"/>
          <w:szCs w:val="30"/>
          <w:lang w:eastAsia="zh-CN"/>
        </w:rPr>
        <w:t>国库中心</w:t>
      </w:r>
      <w:r>
        <w:rPr>
          <w:rFonts w:hint="eastAsia" w:ascii="仿宋" w:hAnsi="仿宋" w:eastAsia="仿宋"/>
          <w:sz w:val="30"/>
          <w:szCs w:val="30"/>
        </w:rPr>
        <w:t>拨付到</w:t>
      </w:r>
      <w:r>
        <w:rPr>
          <w:rFonts w:hint="eastAsia" w:ascii="仿宋" w:hAnsi="仿宋" w:eastAsia="仿宋"/>
          <w:sz w:val="30"/>
          <w:szCs w:val="30"/>
          <w:lang w:eastAsia="zh-CN"/>
        </w:rPr>
        <w:t>相关单位，费用报销程序基本合规，但有</w:t>
      </w:r>
      <w:r>
        <w:rPr>
          <w:rFonts w:hint="eastAsia" w:ascii="仿宋" w:hAnsi="仿宋" w:eastAsia="仿宋"/>
          <w:sz w:val="30"/>
          <w:szCs w:val="30"/>
          <w:lang w:val="en-US" w:eastAsia="zh-CN"/>
        </w:rPr>
        <w:t>2018年项目资金有117,692.00元，在2018年12月31日向财政局申请拨付、南县财政局于2019年1月11日予以拔付</w:t>
      </w:r>
      <w:r>
        <w:rPr>
          <w:rFonts w:hint="eastAsia" w:ascii="仿宋" w:hAnsi="仿宋" w:eastAsia="仿宋"/>
          <w:sz w:val="30"/>
          <w:szCs w:val="30"/>
        </w:rPr>
        <w:t>。</w:t>
      </w:r>
    </w:p>
    <w:p>
      <w:pPr>
        <w:numPr>
          <w:ilvl w:val="0"/>
          <w:numId w:val="0"/>
        </w:numPr>
        <w:ind w:left="760" w:leftChars="0"/>
        <w:rPr>
          <w:rFonts w:asciiTheme="majorEastAsia" w:hAnsiTheme="majorEastAsia" w:eastAsiaTheme="majorEastAsia"/>
          <w:b/>
          <w:sz w:val="32"/>
          <w:szCs w:val="32"/>
        </w:rPr>
      </w:pPr>
      <w:r>
        <w:rPr>
          <w:rFonts w:hint="eastAsia" w:asciiTheme="majorEastAsia" w:hAnsiTheme="majorEastAsia" w:eastAsiaTheme="majorEastAsia"/>
          <w:b/>
          <w:sz w:val="32"/>
          <w:szCs w:val="32"/>
        </w:rPr>
        <w:t>三、项目组织实施情况</w:t>
      </w:r>
    </w:p>
    <w:p>
      <w:pPr>
        <w:ind w:firstLine="600" w:firstLineChars="200"/>
        <w:rPr>
          <w:rFonts w:hint="eastAsia" w:ascii="仿宋" w:hAnsi="仿宋" w:eastAsia="仿宋"/>
          <w:sz w:val="30"/>
          <w:szCs w:val="30"/>
        </w:rPr>
      </w:pPr>
      <w:r>
        <w:rPr>
          <w:rFonts w:hint="eastAsia" w:ascii="仿宋" w:hAnsi="仿宋" w:eastAsia="仿宋"/>
          <w:sz w:val="30"/>
          <w:szCs w:val="30"/>
          <w:lang w:eastAsia="zh-CN"/>
        </w:rPr>
        <w:t>（一）</w:t>
      </w:r>
      <w:r>
        <w:rPr>
          <w:rFonts w:hint="eastAsia" w:ascii="仿宋" w:hAnsi="仿宋" w:eastAsia="仿宋"/>
          <w:sz w:val="30"/>
          <w:szCs w:val="30"/>
        </w:rPr>
        <w:t>制度建设情况。为进一步规范财政资金管理，强化财政资金支出绩效理念，切实提高财政资金使用效益，南县文化体育广电新闻出版局制订了《南县</w:t>
      </w:r>
      <w:r>
        <w:rPr>
          <w:rFonts w:hint="eastAsia" w:ascii="仿宋" w:hAnsi="仿宋" w:eastAsia="仿宋"/>
          <w:sz w:val="30"/>
          <w:szCs w:val="30"/>
          <w:lang w:eastAsia="zh-CN"/>
        </w:rPr>
        <w:t>文体局</w:t>
      </w:r>
      <w:r>
        <w:rPr>
          <w:rFonts w:hint="eastAsia" w:ascii="仿宋" w:hAnsi="仿宋" w:eastAsia="仿宋"/>
          <w:sz w:val="30"/>
          <w:szCs w:val="30"/>
        </w:rPr>
        <w:t>专项资金管理制度》</w:t>
      </w:r>
      <w:r>
        <w:rPr>
          <w:rFonts w:hint="eastAsia" w:ascii="仿宋" w:hAnsi="仿宋" w:eastAsia="仿宋"/>
          <w:sz w:val="30"/>
          <w:szCs w:val="30"/>
          <w:lang w:eastAsia="zh-CN"/>
        </w:rPr>
        <w:t>，</w:t>
      </w:r>
      <w:r>
        <w:rPr>
          <w:rFonts w:hint="eastAsia" w:ascii="仿宋" w:hAnsi="仿宋" w:eastAsia="仿宋"/>
          <w:sz w:val="30"/>
          <w:szCs w:val="30"/>
        </w:rPr>
        <w:t>要求</w:t>
      </w:r>
      <w:r>
        <w:rPr>
          <w:rFonts w:hint="eastAsia" w:ascii="仿宋" w:hAnsi="仿宋" w:eastAsia="仿宋"/>
          <w:sz w:val="30"/>
          <w:szCs w:val="30"/>
          <w:lang w:eastAsia="zh-CN"/>
        </w:rPr>
        <w:t>专项资金</w:t>
      </w:r>
      <w:r>
        <w:rPr>
          <w:rFonts w:hint="eastAsia" w:ascii="仿宋" w:hAnsi="仿宋" w:eastAsia="仿宋"/>
          <w:sz w:val="30"/>
          <w:szCs w:val="30"/>
        </w:rPr>
        <w:t>实行“</w:t>
      </w:r>
      <w:r>
        <w:rPr>
          <w:rFonts w:hint="eastAsia" w:ascii="仿宋" w:hAnsi="仿宋" w:eastAsia="仿宋"/>
          <w:sz w:val="30"/>
          <w:szCs w:val="30"/>
          <w:lang w:eastAsia="zh-CN"/>
        </w:rPr>
        <w:t>专人管理、专户储存、专账核算、专项使用</w:t>
      </w:r>
      <w:r>
        <w:rPr>
          <w:rFonts w:hint="eastAsia" w:ascii="仿宋" w:hAnsi="仿宋" w:eastAsia="仿宋"/>
          <w:sz w:val="30"/>
          <w:szCs w:val="30"/>
        </w:rPr>
        <w:t>”</w:t>
      </w:r>
      <w:r>
        <w:rPr>
          <w:rFonts w:hint="eastAsia" w:ascii="仿宋" w:hAnsi="仿宋" w:eastAsia="仿宋"/>
          <w:sz w:val="30"/>
          <w:szCs w:val="30"/>
          <w:lang w:eastAsia="zh-CN"/>
        </w:rPr>
        <w:t>的原则，</w:t>
      </w:r>
      <w:r>
        <w:rPr>
          <w:rFonts w:hint="eastAsia" w:ascii="仿宋" w:hAnsi="仿宋" w:eastAsia="仿宋"/>
          <w:sz w:val="30"/>
          <w:szCs w:val="30"/>
        </w:rPr>
        <w:t>由单位财务统一核算，专人负责资金及管理经费的支出审核与监管，提高财政资金使用效益</w:t>
      </w:r>
      <w:r>
        <w:rPr>
          <w:rFonts w:hint="eastAsia" w:ascii="仿宋" w:hAnsi="仿宋" w:eastAsia="仿宋"/>
          <w:sz w:val="30"/>
          <w:szCs w:val="30"/>
          <w:lang w:eastAsia="zh-CN"/>
        </w:rPr>
        <w:t>；制定了《保洁岗位制度》对清扫保洁范围、清扫次数、监督程序、垃圾堆放位置做了详细了规定，确保清洁卫生整洁</w:t>
      </w:r>
      <w:r>
        <w:rPr>
          <w:rFonts w:hint="eastAsia" w:ascii="仿宋" w:hAnsi="仿宋" w:eastAsia="仿宋"/>
          <w:sz w:val="30"/>
          <w:szCs w:val="30"/>
        </w:rPr>
        <w:t>。</w:t>
      </w:r>
    </w:p>
    <w:p>
      <w:pPr>
        <w:ind w:firstLine="600" w:firstLineChars="200"/>
        <w:rPr>
          <w:rFonts w:hint="default" w:ascii="仿宋" w:hAnsi="仿宋" w:eastAsia="仿宋"/>
          <w:color w:val="auto"/>
          <w:sz w:val="30"/>
          <w:szCs w:val="30"/>
          <w:lang w:val="en-US" w:eastAsia="zh-CN"/>
        </w:rPr>
      </w:pPr>
      <w:r>
        <w:rPr>
          <w:rFonts w:hint="eastAsia" w:ascii="仿宋" w:hAnsi="仿宋" w:eastAsia="仿宋"/>
          <w:sz w:val="30"/>
          <w:szCs w:val="30"/>
          <w:lang w:eastAsia="zh-CN"/>
        </w:rPr>
        <w:t>（二）</w:t>
      </w:r>
      <w:r>
        <w:rPr>
          <w:rFonts w:hint="eastAsia" w:ascii="仿宋" w:hAnsi="仿宋" w:eastAsia="仿宋"/>
          <w:sz w:val="30"/>
          <w:szCs w:val="30"/>
        </w:rPr>
        <w:t>项目实施情况。</w:t>
      </w:r>
      <w:r>
        <w:rPr>
          <w:rFonts w:hint="eastAsia" w:ascii="仿宋" w:hAnsi="仿宋" w:eastAsia="仿宋"/>
          <w:color w:val="auto"/>
          <w:sz w:val="30"/>
          <w:szCs w:val="30"/>
        </w:rPr>
        <w:t>项目资金的使用和报销等都基本上遵循了上述规章制度和管理办法的要求，手续及流程较为规范，但专项拔入及支出未按规定专户核</w:t>
      </w:r>
      <w:r>
        <w:rPr>
          <w:rFonts w:hint="eastAsia" w:ascii="仿宋" w:hAnsi="仿宋" w:eastAsia="仿宋"/>
          <w:color w:val="auto"/>
          <w:sz w:val="30"/>
          <w:szCs w:val="30"/>
          <w:lang w:eastAsia="zh-CN"/>
        </w:rPr>
        <w:t>算。厂窖惨案纪念馆专项于</w:t>
      </w:r>
      <w:r>
        <w:rPr>
          <w:rFonts w:hint="eastAsia" w:ascii="仿宋" w:hAnsi="仿宋" w:eastAsia="仿宋"/>
          <w:color w:val="auto"/>
          <w:sz w:val="30"/>
          <w:szCs w:val="30"/>
          <w:lang w:val="en-US" w:eastAsia="zh-CN"/>
        </w:rPr>
        <w:t>2016年通过政府采购程序将物业管理业务外包给南县国盛物业管理有限责任公司，由南县财政局见证，厂窖惨案遇难同胞纪念馆与南县国盛物业管理有限责任公司签订物业服务合同书，合同一定三年，一年一签，由南县国盛物业管理有限责任公司对厂窖惨案遇难同胞纪念馆及园区物业进行管理。</w:t>
      </w:r>
    </w:p>
    <w:p>
      <w:pPr>
        <w:ind w:firstLine="480"/>
        <w:rPr>
          <w:rFonts w:asciiTheme="majorEastAsia" w:hAnsiTheme="majorEastAsia" w:eastAsiaTheme="majorEastAsia"/>
          <w:b/>
          <w:sz w:val="32"/>
          <w:szCs w:val="32"/>
        </w:rPr>
      </w:pPr>
      <w:r>
        <w:rPr>
          <w:rFonts w:hint="eastAsia" w:asciiTheme="majorEastAsia" w:hAnsiTheme="majorEastAsia" w:eastAsiaTheme="majorEastAsia"/>
          <w:b/>
          <w:sz w:val="32"/>
          <w:szCs w:val="32"/>
        </w:rPr>
        <w:t>四、绩效评价工作情况</w:t>
      </w:r>
    </w:p>
    <w:p>
      <w:pPr>
        <w:ind w:firstLine="480"/>
        <w:rPr>
          <w:rFonts w:ascii="仿宋" w:hAnsi="仿宋" w:eastAsia="仿宋"/>
          <w:sz w:val="30"/>
          <w:szCs w:val="30"/>
        </w:rPr>
      </w:pPr>
      <w:r>
        <w:rPr>
          <w:rFonts w:hint="eastAsia" w:ascii="仿宋" w:hAnsi="仿宋" w:eastAsia="仿宋"/>
          <w:sz w:val="30"/>
          <w:szCs w:val="30"/>
        </w:rPr>
        <w:t>（一）绩效评价目的</w:t>
      </w:r>
    </w:p>
    <w:p>
      <w:pPr>
        <w:pStyle w:val="11"/>
        <w:wordWrap w:val="0"/>
        <w:spacing w:before="0" w:beforeAutospacing="0" w:after="0" w:afterAutospacing="0" w:line="560" w:lineRule="atLeast"/>
        <w:ind w:firstLine="560"/>
        <w:rPr>
          <w:rFonts w:ascii="仿宋" w:hAnsi="仿宋" w:eastAsia="仿宋" w:cstheme="minorBidi"/>
          <w:color w:val="auto"/>
          <w:kern w:val="2"/>
          <w:sz w:val="30"/>
          <w:szCs w:val="30"/>
        </w:rPr>
      </w:pPr>
      <w:r>
        <w:rPr>
          <w:rFonts w:hint="eastAsia" w:ascii="仿宋" w:hAnsi="仿宋" w:eastAsia="仿宋" w:cstheme="minorBidi"/>
          <w:color w:val="auto"/>
          <w:kern w:val="2"/>
          <w:sz w:val="30"/>
          <w:szCs w:val="30"/>
        </w:rPr>
        <w:t>通过绩效评价全面分析该项目资金使用、管理和项目实施情况，进一步规范全民健身中心专项经费使用、管理制度，强化财政资金支出绩效理念，切实提高财政资金使用效益。</w:t>
      </w:r>
    </w:p>
    <w:p>
      <w:pPr>
        <w:ind w:firstLine="600" w:firstLineChars="200"/>
        <w:rPr>
          <w:rFonts w:ascii="仿宋" w:hAnsi="仿宋" w:eastAsia="仿宋"/>
          <w:sz w:val="30"/>
          <w:szCs w:val="30"/>
        </w:rPr>
      </w:pPr>
      <w:r>
        <w:rPr>
          <w:rFonts w:hint="eastAsia" w:ascii="仿宋" w:hAnsi="仿宋" w:eastAsia="仿宋"/>
          <w:sz w:val="30"/>
          <w:szCs w:val="30"/>
          <w:lang w:val="en-US" w:eastAsia="zh-CN"/>
        </w:rPr>
        <w:t>(二)</w:t>
      </w:r>
      <w:r>
        <w:rPr>
          <w:rFonts w:hint="eastAsia" w:ascii="仿宋" w:hAnsi="仿宋" w:eastAsia="仿宋"/>
          <w:sz w:val="30"/>
          <w:szCs w:val="30"/>
        </w:rPr>
        <w:t>绩效评价工作过程。</w:t>
      </w:r>
    </w:p>
    <w:p>
      <w:pPr>
        <w:pStyle w:val="7"/>
        <w:ind w:firstLine="450" w:firstLineChars="150"/>
        <w:rPr>
          <w:rFonts w:hint="eastAsia" w:ascii="仿宋" w:hAnsi="仿宋" w:eastAsia="仿宋"/>
          <w:sz w:val="30"/>
          <w:szCs w:val="30"/>
        </w:rPr>
      </w:pPr>
      <w:r>
        <w:rPr>
          <w:rFonts w:hint="eastAsia" w:ascii="仿宋" w:hAnsi="仿宋" w:eastAsia="仿宋"/>
          <w:sz w:val="30"/>
          <w:szCs w:val="30"/>
        </w:rPr>
        <w:t>根据南县财政局《关于对2018年度县本级专项资金开展重点绩效评价工作的通知》(南财绩函[2019]14号)文件要求，我所按下列步骤开展了绩效评价工作。</w:t>
      </w:r>
    </w:p>
    <w:p>
      <w:pPr>
        <w:pStyle w:val="7"/>
        <w:ind w:firstLine="450" w:firstLineChars="150"/>
        <w:rPr>
          <w:rFonts w:hint="eastAsia" w:ascii="仿宋" w:hAnsi="仿宋" w:eastAsia="仿宋"/>
          <w:sz w:val="30"/>
          <w:szCs w:val="30"/>
        </w:rPr>
      </w:pPr>
      <w:r>
        <w:rPr>
          <w:rFonts w:hint="eastAsia" w:ascii="仿宋" w:hAnsi="仿宋" w:eastAsia="仿宋"/>
          <w:sz w:val="30"/>
          <w:szCs w:val="30"/>
        </w:rPr>
        <w:t>1、前期准备。我所抽调专人成立了绩效评价工作组，明确了工作职责，制定了现场评价方案，设计了相关表格，联系了相关部门和单位，确定了实施时间。</w:t>
      </w:r>
    </w:p>
    <w:p>
      <w:pPr>
        <w:pStyle w:val="7"/>
        <w:ind w:firstLine="450" w:firstLineChars="150"/>
        <w:rPr>
          <w:rFonts w:hint="eastAsia" w:ascii="仿宋" w:hAnsi="仿宋" w:eastAsia="仿宋"/>
          <w:sz w:val="30"/>
          <w:szCs w:val="30"/>
        </w:rPr>
      </w:pPr>
      <w:r>
        <w:rPr>
          <w:rFonts w:hint="eastAsia" w:ascii="仿宋" w:hAnsi="仿宋" w:eastAsia="仿宋"/>
          <w:sz w:val="30"/>
          <w:szCs w:val="30"/>
        </w:rPr>
        <w:t>2、实施情况。项目绩效评价实施步骤：（1）召开座谈会。组织项目单位管理层、责任人员及相关代表召开座谈会，听取该项目有关情况介绍；（2）收集核查资料。收集该项目相关文件和项目单位相关制度等资料；核查相关制度是否完善，项目支出是否合规，资金拨付手续是否齐全，是否存在截留、挪用等情况；（3）现场查看。进入实地查看，调查走访，发放问卷调查。（4）归纳汇总。对提供材料及自评报告，结合现场评价情况进行综合分析、归纳汇总；（5）得出评价结论，形成绩效评价报告。</w:t>
      </w:r>
    </w:p>
    <w:p>
      <w:pPr>
        <w:pStyle w:val="7"/>
        <w:ind w:firstLine="643" w:firstLineChars="200"/>
        <w:rPr>
          <w:rFonts w:asciiTheme="majorEastAsia" w:hAnsiTheme="majorEastAsia" w:eastAsiaTheme="majorEastAsia"/>
          <w:b/>
          <w:sz w:val="32"/>
          <w:szCs w:val="32"/>
        </w:rPr>
      </w:pPr>
      <w:r>
        <w:rPr>
          <w:rFonts w:hint="eastAsia" w:asciiTheme="majorEastAsia" w:hAnsiTheme="majorEastAsia" w:eastAsiaTheme="majorEastAsia"/>
          <w:b/>
          <w:sz w:val="32"/>
          <w:szCs w:val="32"/>
        </w:rPr>
        <w:t>五、绩效评价结果和主要绩效</w:t>
      </w:r>
    </w:p>
    <w:p>
      <w:pPr>
        <w:pStyle w:val="7"/>
        <w:ind w:firstLine="600" w:firstLineChars="200"/>
        <w:rPr>
          <w:rFonts w:hint="eastAsia" w:ascii="仿宋" w:hAnsi="仿宋" w:eastAsia="仿宋"/>
          <w:sz w:val="30"/>
          <w:szCs w:val="30"/>
        </w:rPr>
      </w:pPr>
      <w:r>
        <w:rPr>
          <w:rFonts w:hint="eastAsia" w:ascii="仿宋" w:hAnsi="仿宋" w:eastAsia="仿宋"/>
          <w:sz w:val="30"/>
          <w:szCs w:val="30"/>
        </w:rPr>
        <w:t>根据该项目资金绩效评价指标体系和绩效检查情况，该项目2018年专项绩效评价分值100分，实得</w:t>
      </w:r>
      <w:r>
        <w:rPr>
          <w:rFonts w:hint="eastAsia" w:ascii="仿宋" w:hAnsi="仿宋" w:eastAsia="仿宋"/>
          <w:sz w:val="30"/>
          <w:szCs w:val="30"/>
          <w:lang w:val="en-US" w:eastAsia="zh-CN"/>
        </w:rPr>
        <w:t>90</w:t>
      </w:r>
      <w:r>
        <w:rPr>
          <w:rFonts w:hint="eastAsia" w:ascii="仿宋" w:hAnsi="仿宋" w:eastAsia="仿宋"/>
          <w:sz w:val="30"/>
          <w:szCs w:val="30"/>
        </w:rPr>
        <w:t>分</w:t>
      </w:r>
      <w:r>
        <w:rPr>
          <w:rFonts w:hint="eastAsia" w:ascii="仿宋" w:hAnsi="仿宋" w:eastAsia="仿宋"/>
          <w:sz w:val="30"/>
          <w:szCs w:val="30"/>
          <w:lang w:eastAsia="zh-CN"/>
        </w:rPr>
        <w:t>，</w:t>
      </w:r>
      <w:r>
        <w:rPr>
          <w:rFonts w:hint="eastAsia" w:ascii="仿宋" w:hAnsi="仿宋" w:eastAsia="仿宋"/>
          <w:sz w:val="30"/>
          <w:szCs w:val="30"/>
        </w:rPr>
        <w:t>被评为“</w:t>
      </w:r>
      <w:r>
        <w:rPr>
          <w:rFonts w:hint="eastAsia" w:ascii="仿宋" w:hAnsi="仿宋" w:eastAsia="仿宋"/>
          <w:sz w:val="30"/>
          <w:szCs w:val="30"/>
          <w:lang w:eastAsia="zh-CN"/>
        </w:rPr>
        <w:t>优秀</w:t>
      </w:r>
      <w:r>
        <w:rPr>
          <w:rFonts w:hint="eastAsia" w:ascii="仿宋" w:hAnsi="仿宋" w:eastAsia="仿宋"/>
          <w:sz w:val="30"/>
          <w:szCs w:val="30"/>
        </w:rPr>
        <w:t>”等级(详见：南县文化体育广电新闻出版局2018年厂窖惨案纪念馆项目绩效评价指标评分表)。主要绩效表现在以下几个方面：</w:t>
      </w:r>
    </w:p>
    <w:p>
      <w:pPr>
        <w:pStyle w:val="7"/>
        <w:numPr>
          <w:ilvl w:val="0"/>
          <w:numId w:val="0"/>
        </w:numPr>
        <w:ind w:firstLine="600" w:firstLineChars="200"/>
        <w:rPr>
          <w:rFonts w:ascii="仿宋" w:hAnsi="仿宋" w:eastAsia="仿宋"/>
          <w:sz w:val="30"/>
          <w:szCs w:val="30"/>
        </w:rPr>
      </w:pPr>
      <w:r>
        <w:rPr>
          <w:rFonts w:hint="eastAsia" w:ascii="仿宋" w:hAnsi="仿宋" w:eastAsia="仿宋"/>
          <w:sz w:val="30"/>
          <w:szCs w:val="30"/>
          <w:lang w:eastAsia="zh-CN"/>
        </w:rPr>
        <w:t>一是卫生环境得到改善，对车辆的出入管理及卫生保洁方面，制定了详细的规划，并严格遵守实施，并定期对绿化进行维护管理，让参观的游客有一个舒适干净的游览场所。</w:t>
      </w:r>
    </w:p>
    <w:p>
      <w:pPr>
        <w:pStyle w:val="7"/>
        <w:numPr>
          <w:ilvl w:val="0"/>
          <w:numId w:val="0"/>
        </w:numPr>
        <w:ind w:firstLine="600" w:firstLineChars="200"/>
        <w:rPr>
          <w:rFonts w:hint="eastAsia" w:ascii="仿宋" w:hAnsi="仿宋" w:eastAsia="仿宋"/>
          <w:sz w:val="30"/>
          <w:szCs w:val="30"/>
        </w:rPr>
      </w:pPr>
      <w:r>
        <w:rPr>
          <w:rFonts w:hint="eastAsia" w:ascii="仿宋" w:hAnsi="仿宋" w:eastAsia="仿宋"/>
          <w:sz w:val="30"/>
          <w:szCs w:val="30"/>
          <w:lang w:eastAsia="zh-CN"/>
        </w:rPr>
        <w:t>二是加强了治安管理防范，承包方在安全管理方面，充分运用多年的管理经验，利用现代化科技手段，依靠各种先进设备，科学组织</w:t>
      </w:r>
      <w:r>
        <w:rPr>
          <w:rFonts w:hint="eastAsia" w:ascii="仿宋" w:hAnsi="仿宋" w:eastAsia="仿宋"/>
          <w:sz w:val="30"/>
          <w:szCs w:val="30"/>
          <w:lang w:val="en-US" w:eastAsia="zh-CN"/>
        </w:rPr>
        <w:t xml:space="preserve"> ，</w:t>
      </w:r>
      <w:r>
        <w:rPr>
          <w:rFonts w:hint="eastAsia" w:ascii="仿宋" w:hAnsi="仿宋" w:eastAsia="仿宋"/>
          <w:sz w:val="30"/>
          <w:szCs w:val="30"/>
          <w:lang w:eastAsia="zh-CN"/>
        </w:rPr>
        <w:t>杜绝了安全事故的发生，尽可能的确保公共及私人财物的安全</w:t>
      </w:r>
      <w:r>
        <w:rPr>
          <w:rFonts w:hint="eastAsia" w:ascii="仿宋" w:hAnsi="仿宋" w:eastAsia="仿宋"/>
          <w:sz w:val="30"/>
          <w:szCs w:val="30"/>
        </w:rPr>
        <w:t>。</w:t>
      </w:r>
    </w:p>
    <w:p>
      <w:pPr>
        <w:pStyle w:val="7"/>
        <w:numPr>
          <w:ilvl w:val="0"/>
          <w:numId w:val="0"/>
        </w:numPr>
        <w:ind w:firstLine="600" w:firstLineChars="200"/>
        <w:rPr>
          <w:rFonts w:hint="eastAsia" w:ascii="仿宋" w:hAnsi="仿宋" w:eastAsia="仿宋"/>
          <w:sz w:val="30"/>
          <w:szCs w:val="30"/>
          <w:lang w:eastAsia="zh-CN"/>
        </w:rPr>
      </w:pPr>
      <w:r>
        <w:rPr>
          <w:rFonts w:hint="eastAsia" w:ascii="仿宋" w:hAnsi="仿宋" w:eastAsia="仿宋"/>
          <w:sz w:val="30"/>
          <w:szCs w:val="30"/>
          <w:lang w:eastAsia="zh-CN"/>
        </w:rPr>
        <w:t>三是扩大了爱国主义教育基地影响度，参观人数大幅提升，充分发挥了爱国主义教育基地、红色旅游的功能和作用。文化保护力度加大，也发展了文体、旅游市场。</w:t>
      </w:r>
    </w:p>
    <w:p>
      <w:pPr>
        <w:pStyle w:val="7"/>
        <w:numPr>
          <w:ilvl w:val="0"/>
          <w:numId w:val="0"/>
        </w:numPr>
        <w:ind w:firstLine="600" w:firstLineChars="200"/>
        <w:rPr>
          <w:rFonts w:ascii="仿宋" w:hAnsi="仿宋" w:eastAsia="仿宋"/>
          <w:sz w:val="30"/>
          <w:szCs w:val="30"/>
        </w:rPr>
      </w:pPr>
      <w:r>
        <w:rPr>
          <w:rFonts w:hint="eastAsia" w:ascii="仿宋" w:hAnsi="仿宋" w:eastAsia="仿宋"/>
          <w:sz w:val="30"/>
          <w:szCs w:val="30"/>
          <w:lang w:eastAsia="zh-CN"/>
        </w:rPr>
        <w:t>四是提高了服务水平，得到了社会各界的一致认可和好评。</w:t>
      </w:r>
    </w:p>
    <w:p>
      <w:pPr>
        <w:pStyle w:val="7"/>
        <w:numPr>
          <w:ilvl w:val="0"/>
          <w:numId w:val="1"/>
        </w:numPr>
        <w:ind w:firstLine="482" w:firstLineChars="150"/>
        <w:rPr>
          <w:rFonts w:hint="eastAsia" w:asciiTheme="majorEastAsia" w:hAnsiTheme="majorEastAsia" w:eastAsiaTheme="majorEastAsia"/>
          <w:b/>
          <w:sz w:val="32"/>
          <w:szCs w:val="32"/>
        </w:rPr>
      </w:pPr>
      <w:r>
        <w:rPr>
          <w:rFonts w:hint="eastAsia" w:asciiTheme="majorEastAsia" w:hAnsiTheme="majorEastAsia" w:eastAsiaTheme="majorEastAsia"/>
          <w:b/>
          <w:sz w:val="32"/>
          <w:szCs w:val="32"/>
        </w:rPr>
        <w:t>存在的主要问题</w:t>
      </w:r>
    </w:p>
    <w:p>
      <w:pPr>
        <w:pStyle w:val="7"/>
        <w:numPr>
          <w:ilvl w:val="0"/>
          <w:numId w:val="0"/>
        </w:numPr>
        <w:ind w:firstLine="600" w:firstLineChars="200"/>
        <w:rPr>
          <w:rFonts w:hint="eastAsia" w:asciiTheme="majorEastAsia" w:hAnsiTheme="majorEastAsia" w:eastAsiaTheme="majorEastAsia"/>
          <w:b/>
          <w:sz w:val="30"/>
          <w:szCs w:val="30"/>
        </w:rPr>
      </w:pPr>
      <w:r>
        <w:rPr>
          <w:rFonts w:hint="eastAsia" w:ascii="仿宋" w:hAnsi="仿宋" w:eastAsia="仿宋" w:cs="仿宋"/>
          <w:b w:val="0"/>
          <w:bCs/>
          <w:sz w:val="30"/>
          <w:szCs w:val="30"/>
        </w:rPr>
        <w:t>南县文化体育广电新闻出版局2018年</w:t>
      </w:r>
      <w:r>
        <w:rPr>
          <w:rFonts w:hint="eastAsia" w:ascii="仿宋" w:hAnsi="仿宋" w:eastAsia="仿宋" w:cs="仿宋"/>
          <w:b w:val="0"/>
          <w:bCs/>
          <w:sz w:val="30"/>
          <w:szCs w:val="30"/>
          <w:lang w:eastAsia="zh-CN"/>
        </w:rPr>
        <w:t>厂窖惨案纪念馆</w:t>
      </w:r>
      <w:r>
        <w:rPr>
          <w:rFonts w:hint="eastAsia" w:ascii="仿宋" w:hAnsi="仿宋" w:eastAsia="仿宋" w:cs="仿宋"/>
          <w:b w:val="0"/>
          <w:bCs/>
          <w:sz w:val="30"/>
          <w:szCs w:val="30"/>
        </w:rPr>
        <w:t>专项在项目决策上合理，实施过程中领导重视，管理较规范，较好的达到了预期的绩效目标，但有些方面仍有不足，主要有：</w:t>
      </w:r>
    </w:p>
    <w:p>
      <w:pPr>
        <w:pStyle w:val="7"/>
        <w:numPr>
          <w:ilvl w:val="0"/>
          <w:numId w:val="0"/>
        </w:numPr>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（一）</w:t>
      </w:r>
      <w:r>
        <w:rPr>
          <w:rFonts w:hint="eastAsia" w:ascii="仿宋" w:hAnsi="仿宋" w:eastAsia="仿宋" w:cs="仿宋"/>
          <w:sz w:val="30"/>
          <w:szCs w:val="30"/>
        </w:rPr>
        <w:t>项目管理制度不完善。项目单位虽制定了专项资金管理办法，但是对项目申报、资金拔付及使用、资金的监督检查等均没有详细规定。</w:t>
      </w:r>
    </w:p>
    <w:p>
      <w:pPr>
        <w:pStyle w:val="7"/>
        <w:ind w:firstLine="600" w:firstLineChars="200"/>
        <w:rPr>
          <w:rFonts w:hint="eastAsia" w:ascii="仿宋" w:hAnsi="仿宋" w:eastAsia="仿宋"/>
          <w:sz w:val="30"/>
          <w:szCs w:val="30"/>
        </w:rPr>
      </w:pPr>
      <w:r>
        <w:rPr>
          <w:rFonts w:hint="eastAsia" w:ascii="仿宋" w:hAnsi="仿宋" w:eastAsia="仿宋" w:cs="仿宋"/>
          <w:sz w:val="30"/>
          <w:szCs w:val="30"/>
          <w:lang w:eastAsia="zh-CN"/>
        </w:rPr>
        <w:t>（二）</w:t>
      </w:r>
      <w:r>
        <w:rPr>
          <w:rFonts w:hint="eastAsia" w:ascii="仿宋" w:hAnsi="仿宋" w:eastAsia="仿宋"/>
          <w:sz w:val="30"/>
          <w:szCs w:val="30"/>
          <w:lang w:val="en-US" w:eastAsia="zh-CN"/>
        </w:rPr>
        <w:t>会计核算工作欠规范</w:t>
      </w:r>
      <w:r>
        <w:rPr>
          <w:rFonts w:hint="eastAsia" w:ascii="仿宋" w:hAnsi="仿宋" w:eastAsia="仿宋"/>
          <w:sz w:val="30"/>
          <w:szCs w:val="30"/>
        </w:rPr>
        <w:t>。</w:t>
      </w:r>
      <w:r>
        <w:rPr>
          <w:rFonts w:hint="eastAsia" w:ascii="仿宋" w:hAnsi="仿宋" w:eastAsia="仿宋"/>
          <w:sz w:val="30"/>
          <w:szCs w:val="30"/>
          <w:lang w:val="en-US" w:eastAsia="zh-CN"/>
        </w:rPr>
        <w:t>1、</w:t>
      </w:r>
      <w:r>
        <w:rPr>
          <w:rFonts w:hint="eastAsia" w:ascii="仿宋" w:hAnsi="仿宋" w:eastAsia="仿宋"/>
          <w:sz w:val="30"/>
          <w:szCs w:val="30"/>
          <w:lang w:eastAsia="zh-CN"/>
        </w:rPr>
        <w:t>从账务上看，</w:t>
      </w:r>
      <w:r>
        <w:rPr>
          <w:rFonts w:hint="eastAsia" w:ascii="仿宋" w:hAnsi="仿宋" w:eastAsia="仿宋"/>
          <w:sz w:val="30"/>
          <w:szCs w:val="30"/>
        </w:rPr>
        <w:t>该项目2018年部门预算单位经费安排表中，明确该项目为“专项商品和服务支出-其他商品和服务支出-</w:t>
      </w:r>
      <w:r>
        <w:rPr>
          <w:rFonts w:hint="eastAsia" w:ascii="仿宋" w:hAnsi="仿宋" w:eastAsia="仿宋" w:cs="仿宋"/>
          <w:b w:val="0"/>
          <w:bCs/>
          <w:sz w:val="30"/>
          <w:szCs w:val="30"/>
          <w:lang w:eastAsia="zh-CN"/>
        </w:rPr>
        <w:t>厂窖惨案纪念馆</w:t>
      </w:r>
      <w:r>
        <w:rPr>
          <w:rFonts w:hint="eastAsia" w:ascii="仿宋" w:hAnsi="仿宋" w:eastAsia="仿宋"/>
          <w:sz w:val="30"/>
          <w:szCs w:val="30"/>
        </w:rPr>
        <w:t>”的经济类别，但该</w:t>
      </w:r>
      <w:r>
        <w:rPr>
          <w:rFonts w:hint="eastAsia" w:ascii="仿宋" w:hAnsi="仿宋" w:eastAsia="仿宋" w:cs="仿宋"/>
          <w:b w:val="0"/>
          <w:bCs/>
          <w:sz w:val="30"/>
          <w:szCs w:val="30"/>
          <w:lang w:eastAsia="zh-CN"/>
        </w:rPr>
        <w:t>厂窖惨案纪念馆</w:t>
      </w:r>
      <w:r>
        <w:rPr>
          <w:rFonts w:hint="eastAsia" w:ascii="仿宋" w:hAnsi="仿宋" w:eastAsia="仿宋"/>
          <w:sz w:val="30"/>
          <w:szCs w:val="30"/>
        </w:rPr>
        <w:t>专项经费</w:t>
      </w:r>
      <w:r>
        <w:rPr>
          <w:rFonts w:hint="eastAsia" w:ascii="仿宋" w:hAnsi="仿宋" w:eastAsia="仿宋"/>
          <w:sz w:val="30"/>
          <w:szCs w:val="30"/>
          <w:lang w:eastAsia="zh-CN"/>
        </w:rPr>
        <w:t>均</w:t>
      </w:r>
      <w:r>
        <w:rPr>
          <w:rFonts w:hint="eastAsia" w:ascii="仿宋" w:hAnsi="仿宋" w:eastAsia="仿宋"/>
          <w:sz w:val="30"/>
          <w:szCs w:val="30"/>
        </w:rPr>
        <w:t>在“服务外包”项目列支，记账为</w:t>
      </w:r>
      <w:r>
        <w:rPr>
          <w:rFonts w:hint="eastAsia" w:ascii="仿宋" w:hAnsi="仿宋" w:eastAsia="仿宋"/>
          <w:sz w:val="30"/>
          <w:szCs w:val="30"/>
          <w:lang w:eastAsia="zh-CN"/>
        </w:rPr>
        <w:t>“事业支出-其他资金支出-项目支出-商品服务支出-物业管理费或委托业务费”；</w:t>
      </w:r>
      <w:r>
        <w:rPr>
          <w:rFonts w:hint="eastAsia" w:ascii="仿宋" w:hAnsi="仿宋" w:eastAsia="仿宋"/>
          <w:sz w:val="30"/>
          <w:szCs w:val="30"/>
          <w:lang w:val="en-US" w:eastAsia="zh-CN"/>
        </w:rPr>
        <w:t>2、</w:t>
      </w:r>
      <w:r>
        <w:rPr>
          <w:rFonts w:hint="eastAsia" w:ascii="仿宋" w:hAnsi="仿宋" w:eastAsia="仿宋"/>
          <w:sz w:val="30"/>
          <w:szCs w:val="30"/>
          <w:lang w:eastAsia="zh-CN"/>
        </w:rPr>
        <w:t>从使用上看，该项目支出是使用的财政下拨的如下项目资金：①在用途“其他商品和服务支出</w:t>
      </w:r>
      <w:r>
        <w:rPr>
          <w:rFonts w:hint="eastAsia" w:ascii="仿宋" w:hAnsi="仿宋" w:eastAsia="仿宋"/>
          <w:sz w:val="30"/>
          <w:szCs w:val="30"/>
          <w:lang w:val="en-US" w:eastAsia="zh-CN"/>
        </w:rPr>
        <w:t>-文化专项”中支出</w:t>
      </w:r>
      <w:r>
        <w:rPr>
          <w:rFonts w:hint="eastAsia" w:ascii="仿宋" w:hAnsi="仿宋" w:eastAsia="仿宋"/>
          <w:sz w:val="30"/>
          <w:szCs w:val="30"/>
          <w:lang w:eastAsia="zh-CN"/>
        </w:rPr>
        <w:t>117,692.00元、②在“其他商品和服务支出</w:t>
      </w:r>
      <w:r>
        <w:rPr>
          <w:rFonts w:hint="eastAsia" w:ascii="仿宋" w:hAnsi="仿宋" w:eastAsia="仿宋"/>
          <w:sz w:val="30"/>
          <w:szCs w:val="30"/>
          <w:lang w:val="en-US" w:eastAsia="zh-CN"/>
        </w:rPr>
        <w:t>-2018年度省级体育彩票公益金”中支出117,692.00元、未按财政资金用途使用资金，对财政拨入的资金没有实施专户管理、没有单独入账，而是统收统入。</w:t>
      </w:r>
    </w:p>
    <w:p>
      <w:pPr>
        <w:pStyle w:val="7"/>
        <w:ind w:firstLine="600" w:firstLineChars="200"/>
        <w:rPr>
          <w:rFonts w:hint="eastAsia" w:ascii="仿宋" w:hAnsi="仿宋" w:eastAsia="仿宋"/>
          <w:sz w:val="30"/>
          <w:szCs w:val="30"/>
          <w:lang w:val="en-US" w:eastAsia="zh-CN"/>
        </w:rPr>
      </w:pPr>
      <w:r>
        <w:rPr>
          <w:rFonts w:hint="eastAsia" w:ascii="仿宋" w:hAnsi="仿宋" w:eastAsia="仿宋" w:cs="仿宋"/>
          <w:sz w:val="30"/>
          <w:szCs w:val="30"/>
          <w:lang w:val="en-US" w:eastAsia="zh-CN"/>
        </w:rPr>
        <w:t>（三）</w:t>
      </w:r>
      <w:r>
        <w:rPr>
          <w:rFonts w:hint="eastAsia" w:ascii="仿宋" w:hAnsi="仿宋" w:eastAsia="仿宋"/>
          <w:sz w:val="30"/>
          <w:szCs w:val="30"/>
          <w:lang w:eastAsia="zh-CN"/>
        </w:rPr>
        <w:t>绩效自评报告质量有待提高。评价人员通过查阅相关项目资料和档案，认为项目单位自评资料报送较为及时、数据基本准确，但提交的绩效自评报告中，对项目的立项依据（拔付依据）、项目管理制度的建立及执行情况以及存大的问题和相关建议等方面均没有表述，绩效自评工作不够全面，绩效自评报告质量有待提高。</w:t>
      </w:r>
    </w:p>
    <w:p>
      <w:pPr>
        <w:pStyle w:val="7"/>
        <w:ind w:firstLine="602" w:firstLineChars="200"/>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rPr>
        <w:t>七、建议</w:t>
      </w:r>
    </w:p>
    <w:p>
      <w:pPr>
        <w:pStyle w:val="7"/>
        <w:ind w:firstLine="480"/>
        <w:rPr>
          <w:rFonts w:hint="eastAsia" w:ascii="仿宋" w:hAnsi="仿宋" w:eastAsia="仿宋" w:cs="仿宋"/>
          <w:sz w:val="30"/>
          <w:szCs w:val="30"/>
        </w:rPr>
      </w:pPr>
      <w:r>
        <w:rPr>
          <w:rFonts w:hint="eastAsia" w:ascii="仿宋" w:hAnsi="仿宋" w:eastAsia="仿宋" w:cs="仿宋"/>
          <w:sz w:val="30"/>
          <w:szCs w:val="30"/>
        </w:rPr>
        <w:t>（一）完善项目管理制度和专项资金管理办法，使各项目在立项、申报、批复及执行过程中均有据可查，有章有依；在专项资金使用上应对资金的申请、拔付，使用的范围、标准以及监督检查等有明确的规定，使制度和办法贯穿于整个项目的始终。</w:t>
      </w:r>
    </w:p>
    <w:p>
      <w:pPr>
        <w:pStyle w:val="7"/>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（二）加强会计核算工作，严格按准则要求进行账务处理，专项资金坚决实行“专人管理、专户储存、专账核算、专项使用”的原则，在专项资金拨入时努力做到来源明确并单独核算。</w:t>
      </w:r>
    </w:p>
    <w:p>
      <w:pPr>
        <w:pStyle w:val="7"/>
        <w:ind w:firstLine="600" w:firstLineChars="200"/>
        <w:rPr>
          <w:rFonts w:hint="eastAsia" w:ascii="仿宋" w:hAnsi="仿宋" w:eastAsia="仿宋" w:cs="仿宋"/>
          <w:sz w:val="30"/>
          <w:szCs w:val="30"/>
        </w:rPr>
      </w:pPr>
      <w:r>
        <w:rPr>
          <w:rFonts w:hint="eastAsia" w:ascii="仿宋" w:hAnsi="仿宋" w:eastAsia="仿宋"/>
          <w:sz w:val="30"/>
          <w:szCs w:val="30"/>
          <w:lang w:val="en-US" w:eastAsia="zh-CN"/>
        </w:rPr>
        <w:t>（三）</w:t>
      </w:r>
      <w:r>
        <w:rPr>
          <w:rFonts w:hint="eastAsia" w:ascii="仿宋" w:hAnsi="仿宋" w:eastAsia="仿宋" w:cs="仿宋"/>
          <w:sz w:val="30"/>
          <w:szCs w:val="30"/>
        </w:rPr>
        <w:t>提高认识，努力提高资料收集及项目绩效自评水平。全面绩效评价工作已经提升到了党的政策高度，因此绩效评价工作也是一个常态性的重要工作，资料收集完备以及项目自评报告的水平也直接反映了项目单位的重视程度及专项工作做得好坏的重要参考。</w:t>
      </w:r>
    </w:p>
    <w:p>
      <w:pPr>
        <w:pStyle w:val="7"/>
        <w:ind w:firstLine="480"/>
        <w:rPr>
          <w:rFonts w:hint="eastAsia" w:ascii="仿宋" w:hAnsi="仿宋" w:eastAsia="仿宋" w:cs="仿宋"/>
          <w:sz w:val="30"/>
          <w:szCs w:val="30"/>
        </w:rPr>
      </w:pPr>
    </w:p>
    <w:p>
      <w:pPr>
        <w:pStyle w:val="7"/>
        <w:ind w:firstLine="480"/>
        <w:rPr>
          <w:rFonts w:hint="eastAsia" w:ascii="仿宋" w:hAnsi="仿宋" w:eastAsia="仿宋" w:cs="仿宋"/>
          <w:sz w:val="30"/>
          <w:szCs w:val="30"/>
        </w:rPr>
      </w:pPr>
    </w:p>
    <w:p>
      <w:pPr>
        <w:pStyle w:val="7"/>
        <w:ind w:firstLine="480"/>
        <w:rPr>
          <w:rFonts w:hint="eastAsia" w:ascii="仿宋" w:hAnsi="仿宋" w:eastAsia="仿宋" w:cs="仿宋"/>
          <w:sz w:val="30"/>
          <w:szCs w:val="30"/>
        </w:rPr>
      </w:pPr>
    </w:p>
    <w:p>
      <w:pPr>
        <w:pStyle w:val="7"/>
        <w:ind w:firstLine="480"/>
        <w:rPr>
          <w:rFonts w:hint="eastAsia" w:ascii="仿宋" w:hAnsi="仿宋" w:eastAsia="仿宋" w:cs="仿宋"/>
          <w:sz w:val="30"/>
          <w:szCs w:val="30"/>
        </w:rPr>
      </w:pPr>
    </w:p>
    <w:p>
      <w:pPr>
        <w:pStyle w:val="7"/>
        <w:ind w:firstLine="480"/>
        <w:rPr>
          <w:rFonts w:hint="eastAsia" w:ascii="仿宋" w:hAnsi="仿宋" w:eastAsia="仿宋" w:cs="仿宋"/>
          <w:sz w:val="30"/>
          <w:szCs w:val="30"/>
        </w:rPr>
      </w:pPr>
    </w:p>
    <w:p>
      <w:pPr>
        <w:pStyle w:val="7"/>
        <w:ind w:firstLine="6160" w:firstLineChars="2200"/>
        <w:rPr>
          <w:rFonts w:ascii="仿宋" w:hAnsi="仿宋" w:eastAsia="仿宋"/>
          <w:sz w:val="28"/>
          <w:szCs w:val="28"/>
        </w:rPr>
      </w:pPr>
      <w:r>
        <w:rPr>
          <w:rFonts w:hint="eastAsia" w:ascii="仿宋" w:hAnsi="仿宋" w:eastAsia="仿宋"/>
          <w:sz w:val="28"/>
          <w:szCs w:val="28"/>
        </w:rPr>
        <w:t>2019年</w:t>
      </w:r>
      <w:r>
        <w:rPr>
          <w:rFonts w:hint="eastAsia" w:ascii="仿宋" w:hAnsi="仿宋" w:eastAsia="仿宋"/>
          <w:sz w:val="28"/>
          <w:szCs w:val="28"/>
          <w:lang w:val="en-US" w:eastAsia="zh-CN"/>
        </w:rPr>
        <w:t>6</w:t>
      </w:r>
      <w:r>
        <w:rPr>
          <w:rFonts w:hint="eastAsia" w:ascii="仿宋" w:hAnsi="仿宋" w:eastAsia="仿宋"/>
          <w:sz w:val="28"/>
          <w:szCs w:val="28"/>
        </w:rPr>
        <w:t>月</w:t>
      </w:r>
      <w:r>
        <w:rPr>
          <w:rFonts w:hint="eastAsia" w:ascii="仿宋" w:hAnsi="仿宋" w:eastAsia="仿宋"/>
          <w:sz w:val="28"/>
          <w:szCs w:val="28"/>
          <w:lang w:val="en-US" w:eastAsia="zh-CN"/>
        </w:rPr>
        <w:t>13</w:t>
      </w:r>
      <w:r>
        <w:rPr>
          <w:rFonts w:hint="eastAsia" w:ascii="仿宋" w:hAnsi="仿宋" w:eastAsia="仿宋"/>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5E46EB"/>
    <w:multiLevelType w:val="singleLevel"/>
    <w:tmpl w:val="E05E46EB"/>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79B"/>
    <w:rsid w:val="000A4E3A"/>
    <w:rsid w:val="001135CD"/>
    <w:rsid w:val="00122845"/>
    <w:rsid w:val="00184877"/>
    <w:rsid w:val="00192988"/>
    <w:rsid w:val="00216E3E"/>
    <w:rsid w:val="00230A8B"/>
    <w:rsid w:val="00344374"/>
    <w:rsid w:val="003532D2"/>
    <w:rsid w:val="00382315"/>
    <w:rsid w:val="00383F7D"/>
    <w:rsid w:val="003F5513"/>
    <w:rsid w:val="004259F6"/>
    <w:rsid w:val="00436364"/>
    <w:rsid w:val="00443FAD"/>
    <w:rsid w:val="0045022D"/>
    <w:rsid w:val="004C4C94"/>
    <w:rsid w:val="004F1790"/>
    <w:rsid w:val="0063151F"/>
    <w:rsid w:val="006433BF"/>
    <w:rsid w:val="006445D1"/>
    <w:rsid w:val="006C06A3"/>
    <w:rsid w:val="006C0C7C"/>
    <w:rsid w:val="006C5ECB"/>
    <w:rsid w:val="006F5DB2"/>
    <w:rsid w:val="007C479B"/>
    <w:rsid w:val="007F0D6F"/>
    <w:rsid w:val="008476D9"/>
    <w:rsid w:val="00851A90"/>
    <w:rsid w:val="00962838"/>
    <w:rsid w:val="00A74491"/>
    <w:rsid w:val="00AE5754"/>
    <w:rsid w:val="00B52AEA"/>
    <w:rsid w:val="00C31D03"/>
    <w:rsid w:val="00C5451A"/>
    <w:rsid w:val="00C977E6"/>
    <w:rsid w:val="00CC6F0D"/>
    <w:rsid w:val="00D96BC5"/>
    <w:rsid w:val="00E2302E"/>
    <w:rsid w:val="00EA5633"/>
    <w:rsid w:val="00F11F5A"/>
    <w:rsid w:val="00FF5F95"/>
    <w:rsid w:val="051D4143"/>
    <w:rsid w:val="05B21D91"/>
    <w:rsid w:val="08A835CF"/>
    <w:rsid w:val="0B0A315E"/>
    <w:rsid w:val="10114838"/>
    <w:rsid w:val="1056032E"/>
    <w:rsid w:val="109B583A"/>
    <w:rsid w:val="10D169FC"/>
    <w:rsid w:val="11C87AFF"/>
    <w:rsid w:val="14012756"/>
    <w:rsid w:val="152E5EEC"/>
    <w:rsid w:val="1F8829F8"/>
    <w:rsid w:val="22463B8C"/>
    <w:rsid w:val="239E0545"/>
    <w:rsid w:val="23F23286"/>
    <w:rsid w:val="25933988"/>
    <w:rsid w:val="2C854DDC"/>
    <w:rsid w:val="2EC21C41"/>
    <w:rsid w:val="30ED1C18"/>
    <w:rsid w:val="3F357C88"/>
    <w:rsid w:val="4208521D"/>
    <w:rsid w:val="420F1B9A"/>
    <w:rsid w:val="480C59EA"/>
    <w:rsid w:val="49DD2561"/>
    <w:rsid w:val="50977AC5"/>
    <w:rsid w:val="53DD6410"/>
    <w:rsid w:val="577E2B19"/>
    <w:rsid w:val="57A754DA"/>
    <w:rsid w:val="5D560D38"/>
    <w:rsid w:val="5EB11C0D"/>
    <w:rsid w:val="5F016074"/>
    <w:rsid w:val="6D651BC4"/>
    <w:rsid w:val="6E23729B"/>
    <w:rsid w:val="702C60B2"/>
    <w:rsid w:val="731376E0"/>
    <w:rsid w:val="7AA062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40" w:lineRule="exact"/>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spacing w:line="240" w:lineRule="atLeas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4">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7">
    <w:name w:val="No Spacing"/>
    <w:qFormat/>
    <w:uiPriority w:val="1"/>
    <w:pPr>
      <w:widowControl w:val="0"/>
      <w:spacing w:line="540" w:lineRule="exact"/>
      <w:jc w:val="both"/>
    </w:pPr>
    <w:rPr>
      <w:rFonts w:asciiTheme="minorHAnsi" w:hAnsiTheme="minorHAnsi" w:eastAsiaTheme="minorEastAsia" w:cstheme="minorBidi"/>
      <w:kern w:val="2"/>
      <w:sz w:val="21"/>
      <w:szCs w:val="22"/>
      <w:lang w:val="en-US" w:eastAsia="zh-CN" w:bidi="ar-SA"/>
    </w:rPr>
  </w:style>
  <w:style w:type="paragraph" w:styleId="8">
    <w:name w:val="List Paragraph"/>
    <w:basedOn w:val="1"/>
    <w:qFormat/>
    <w:uiPriority w:val="34"/>
    <w:pPr>
      <w:ind w:firstLine="420" w:firstLineChars="200"/>
    </w:p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 w:type="paragraph" w:customStyle="1" w:styleId="11">
    <w:name w:val="p0"/>
    <w:basedOn w:val="1"/>
    <w:qFormat/>
    <w:uiPriority w:val="0"/>
    <w:pPr>
      <w:spacing w:before="100" w:beforeAutospacing="1" w:after="100" w:afterAutospacing="1" w:line="240" w:lineRule="auto"/>
    </w:pPr>
    <w:rPr>
      <w:rFonts w:ascii="宋体" w:hAnsi="宋体" w:eastAsia="宋体" w:cs="宋体"/>
      <w:color w:val="000000"/>
      <w:kern w:val="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4ADC77-5363-46D2-BF98-E7F2A3A56A0A}">
  <ds:schemaRefs/>
</ds:datastoreItem>
</file>

<file path=docProps/app.xml><?xml version="1.0" encoding="utf-8"?>
<Properties xmlns="http://schemas.openxmlformats.org/officeDocument/2006/extended-properties" xmlns:vt="http://schemas.openxmlformats.org/officeDocument/2006/docPropsVTypes">
  <Template>Normal</Template>
  <Pages>7</Pages>
  <Words>601</Words>
  <Characters>3432</Characters>
  <Lines>28</Lines>
  <Paragraphs>8</Paragraphs>
  <TotalTime>3</TotalTime>
  <ScaleCrop>false</ScaleCrop>
  <LinksUpToDate>false</LinksUpToDate>
  <CharactersWithSpaces>4025</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2019-06-06T07:34:00Z</dcterms:created>
  <dc:creator>Administrator</dc:creator>
  <cp:lastModifiedBy>Administrator</cp:lastModifiedBy>
  <dcterms:modified xsi:type="dcterms:W3CDTF">2019-07-10T11:32:28Z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