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2"/>
          <w:szCs w:val="32"/>
        </w:rPr>
        <w:t>2018年度南县司法局政府购买服务专项经费项目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资金绩效评价报告</w:t>
      </w:r>
    </w:p>
    <w:p>
      <w:pPr>
        <w:shd w:val="clear" w:color="auto" w:fill="FFFFFF"/>
        <w:spacing w:line="450" w:lineRule="atLeast"/>
        <w:ind w:firstLine="2160" w:firstLineChars="800"/>
        <w:rPr>
          <w:rFonts w:ascii="微软雅黑" w:hAnsi="微软雅黑" w:eastAsia="微软雅黑" w:cs="宋体"/>
          <w:bCs/>
          <w:color w:val="333333"/>
          <w:kern w:val="0"/>
          <w:sz w:val="27"/>
          <w:szCs w:val="27"/>
        </w:rPr>
      </w:pPr>
      <w:r>
        <w:rPr>
          <w:rFonts w:hint="eastAsia" w:ascii="微软雅黑" w:hAnsi="微软雅黑" w:eastAsia="微软雅黑" w:cs="宋体"/>
          <w:bCs/>
          <w:color w:val="333333"/>
          <w:kern w:val="0"/>
          <w:sz w:val="27"/>
          <w:szCs w:val="27"/>
        </w:rPr>
        <w:t>湖南新财苑会计师事务所有限公司</w:t>
      </w:r>
    </w:p>
    <w:p>
      <w:pPr>
        <w:ind w:firstLine="600" w:firstLineChars="20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w:t>
      </w:r>
      <w:r>
        <w:rPr>
          <w:rFonts w:hint="eastAsia" w:ascii="仿宋" w:hAnsi="仿宋" w:eastAsia="仿宋"/>
          <w:sz w:val="30"/>
          <w:szCs w:val="30"/>
          <w:shd w:val="clear" w:color="auto" w:fill="FFFFFF"/>
        </w:rPr>
        <w:t>《中共中央 国务院关于全面实施预算绩效管理的意见》（中发〔2018〕34号）、</w:t>
      </w:r>
      <w:r>
        <w:rPr>
          <w:rFonts w:hint="eastAsia" w:ascii="仿宋" w:hAnsi="仿宋" w:eastAsia="仿宋"/>
          <w:sz w:val="30"/>
          <w:szCs w:val="30"/>
        </w:rPr>
        <w:t>《预算绩效管理工作考核办法》（湘财绩〔2015〕15号）和《省财政厅2019年工作规划》等文件</w:t>
      </w:r>
      <w:r>
        <w:rPr>
          <w:rFonts w:hint="eastAsia" w:ascii="仿宋" w:hAnsi="仿宋" w:eastAsia="仿宋"/>
          <w:sz w:val="30"/>
          <w:szCs w:val="30"/>
          <w:shd w:val="clear" w:color="auto" w:fill="FFFFFF"/>
        </w:rPr>
        <w:t>要求</w:t>
      </w:r>
      <w:r>
        <w:rPr>
          <w:rFonts w:hint="eastAsia" w:ascii="仿宋" w:hAnsi="仿宋" w:eastAsia="仿宋"/>
          <w:sz w:val="30"/>
          <w:szCs w:val="30"/>
        </w:rPr>
        <w:t>，受南县财政局的委托，我所成立专项资金绩效评价工作组，于2019年4月26日—7月5日对2018年度对南县司法局政府购买服务专项工作经费以下简称项目资金）开展了绩效评价。现将有关情况报告如下：</w:t>
      </w:r>
    </w:p>
    <w:p>
      <w:pPr>
        <w:pStyle w:val="8"/>
        <w:ind w:firstLine="803" w:firstLineChars="250"/>
        <w:rPr>
          <w:b/>
          <w:sz w:val="32"/>
          <w:szCs w:val="32"/>
        </w:rPr>
      </w:pPr>
      <w:r>
        <w:rPr>
          <w:rFonts w:hint="eastAsia"/>
          <w:b/>
          <w:sz w:val="32"/>
          <w:szCs w:val="32"/>
        </w:rPr>
        <w:t>一、基本情况</w:t>
      </w:r>
    </w:p>
    <w:p>
      <w:pPr>
        <w:pStyle w:val="4"/>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一）项目单位基本情况。南县司法局是南县人民政府主管人民调解、社区矫正安置帮教、法治宣传、法律援助、司法鉴定、公证服务、律师管理等业务的司法行政部门。全局现有在职人员54人，离退休人员35人。总编制为66个，其中行政编53个、全额事业编8个，自收自支事业编5个。内设职能科室9个（含纪检监察室、机关党委），共有12个司法所。局属二级事业单位1个，其中副科级事业单位1个（南县公证处）。担负着全县综治维稳、普法宣传、法律援助、人民调解、社区矫正、两劳回归人员的安置帮教、公证和法律服务等职能，是我县面向群众、服务群众的一个重要职能部门。</w:t>
      </w:r>
    </w:p>
    <w:p>
      <w:pPr>
        <w:pStyle w:val="4"/>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（二）项目基本情况。政府购购买服务专项是指通过市场行为将司法局部分服务事项，按照县级相关方式和程序，交由具备条件的社会力量承担，按照合同约定向其支付费用的行为。根据司法部 中央社会管理综合治理委员会办公室 教育部 民政 部 财政部 人力资源部和社会保障部联合发布的《中央综治办 教育部 民政部 财政部 人力资源和社会保障部关于组织社会力量参与社区矫正工作的意见》（司发［2014］14号）、湖南省司法厅 湖南省财政厅关于印发《2014-2015年湖南省政府购买社区矫正服务实施方案》的通知（湘司发［2014］53号）、湖南省司法厅 湖南省社会管理综合治理委员会办公室 湖南省教育厅 湖南省民政厅 湖南省财政厅 湖南省人力资源和社会保障厅关于转发《司法部 中央综治办 教育部 民政部 财政部 人力资源和社会保障厅关于组织社会力量参与社区矫正工作的意见》的通知（湘司发［2015］5号）文件精神，县司法局通过政府购买服务补充基层人员的不足，由县财政直接拨付专项资金71.67万元，实际支出63.68万元，结余资金7.99万元。其专项实施内容包含工作指导管理费、工作经费、设备费。</w:t>
      </w:r>
    </w:p>
    <w:p>
      <w:pPr>
        <w:pStyle w:val="4"/>
        <w:shd w:val="clear" w:color="auto" w:fill="FFFFFF"/>
        <w:spacing w:before="0" w:beforeAutospacing="0" w:after="0" w:afterAutospacing="0"/>
        <w:ind w:firstLine="482"/>
        <w:rPr>
          <w:rFonts w:ascii="仿宋" w:hAnsi="仿宋" w:eastAsia="仿宋"/>
          <w:color w:val="555555"/>
          <w:sz w:val="28"/>
          <w:szCs w:val="28"/>
        </w:rPr>
      </w:pPr>
      <w:r>
        <w:rPr>
          <w:rFonts w:hint="eastAsia" w:ascii="仿宋" w:hAnsi="仿宋" w:eastAsia="仿宋"/>
          <w:sz w:val="28"/>
          <w:szCs w:val="28"/>
        </w:rPr>
        <w:t>（三）项目绩效目标完成情况。2018年度政府购买服务专项支出63.68万元，20名社工分配至12个司法所及相关业务股室，协助管理全县387名社区矫正对象，无一脱管漏管；坐班律师接待公共法律服务咨询323人次，法援咨询340人次，咨询管理数119条。</w:t>
      </w:r>
    </w:p>
    <w:p>
      <w:pPr>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480"/>
        <w:rPr>
          <w:rFonts w:ascii="仿宋" w:hAnsi="仿宋" w:eastAsia="仿宋"/>
          <w:sz w:val="28"/>
          <w:szCs w:val="28"/>
        </w:rPr>
      </w:pPr>
      <w:r>
        <w:rPr>
          <w:rFonts w:hint="eastAsia" w:ascii="仿宋" w:hAnsi="仿宋" w:eastAsia="仿宋"/>
          <w:sz w:val="28"/>
          <w:szCs w:val="28"/>
        </w:rPr>
        <w:t xml:space="preserve">  （一）项目资金到位情况。2018年政府购买服务专项本级财政安排预算71.67万元，至12月31日止拨付到位654729元，2019年1月3日拨付到位61971元</w:t>
      </w:r>
      <w:r>
        <w:rPr>
          <w:rFonts w:hint="eastAsia" w:ascii="仿宋" w:hAnsi="仿宋" w:eastAsia="仿宋"/>
          <w:sz w:val="28"/>
          <w:szCs w:val="28"/>
          <w:lang w:eastAsia="zh-CN"/>
        </w:rPr>
        <w:t>，</w:t>
      </w:r>
      <w:r>
        <w:rPr>
          <w:rFonts w:hint="eastAsia" w:ascii="仿宋" w:hAnsi="仿宋" w:eastAsia="仿宋"/>
          <w:sz w:val="28"/>
          <w:szCs w:val="28"/>
        </w:rPr>
        <w:t>资金到位率91.4%。</w:t>
      </w:r>
    </w:p>
    <w:p>
      <w:pPr>
        <w:ind w:firstLine="480"/>
        <w:rPr>
          <w:rFonts w:ascii="仿宋" w:hAnsi="仿宋" w:eastAsia="仿宋"/>
          <w:sz w:val="28"/>
          <w:szCs w:val="28"/>
        </w:rPr>
      </w:pPr>
      <w:r>
        <w:rPr>
          <w:rFonts w:hint="eastAsia" w:ascii="仿宋" w:hAnsi="仿宋" w:eastAsia="仿宋"/>
          <w:sz w:val="28"/>
          <w:szCs w:val="28"/>
        </w:rPr>
        <w:t xml:space="preserve">  （二）项目资金使用情况。至2018年12月31日止，政府购买服务专项共支出63.68万元 。具体支出明细如下表：</w:t>
      </w:r>
    </w:p>
    <w:p>
      <w:pPr>
        <w:ind w:firstLine="480"/>
        <w:rPr>
          <w:rFonts w:ascii="仿宋" w:hAnsi="仿宋" w:eastAsia="仿宋"/>
          <w:sz w:val="28"/>
          <w:szCs w:val="28"/>
        </w:rPr>
      </w:pPr>
    </w:p>
    <w:p>
      <w:pPr>
        <w:ind w:firstLine="480"/>
        <w:rPr>
          <w:rFonts w:ascii="仿宋" w:hAnsi="仿宋" w:eastAsia="仿宋"/>
          <w:sz w:val="28"/>
          <w:szCs w:val="28"/>
        </w:rPr>
      </w:pPr>
    </w:p>
    <w:p>
      <w:pPr>
        <w:ind w:firstLine="480"/>
        <w:rPr>
          <w:rFonts w:ascii="仿宋" w:hAnsi="仿宋" w:eastAsia="仿宋"/>
          <w:sz w:val="28"/>
          <w:szCs w:val="28"/>
        </w:rPr>
      </w:pPr>
      <w:r>
        <w:rPr>
          <w:rFonts w:hint="eastAsia" w:ascii="仿宋" w:hAnsi="仿宋" w:eastAsia="仿宋"/>
          <w:sz w:val="28"/>
          <w:szCs w:val="28"/>
        </w:rPr>
        <w:t>单位：万元</w:t>
      </w:r>
    </w:p>
    <w:tbl>
      <w:tblPr>
        <w:tblStyle w:val="6"/>
        <w:tblW w:w="8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904"/>
        <w:gridCol w:w="1390"/>
        <w:gridCol w:w="2242"/>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799" w:type="dxa"/>
            <w:vAlign w:val="center"/>
          </w:tcPr>
          <w:p>
            <w:pPr>
              <w:jc w:val="center"/>
              <w:rPr>
                <w:rFonts w:ascii="仿宋" w:hAnsi="仿宋" w:eastAsia="仿宋"/>
                <w:sz w:val="28"/>
                <w:szCs w:val="28"/>
              </w:rPr>
            </w:pPr>
            <w:r>
              <w:rPr>
                <w:rFonts w:hint="eastAsia" w:ascii="仿宋" w:hAnsi="仿宋" w:eastAsia="仿宋"/>
                <w:sz w:val="28"/>
                <w:szCs w:val="28"/>
              </w:rPr>
              <w:t>序号</w:t>
            </w:r>
          </w:p>
        </w:tc>
        <w:tc>
          <w:tcPr>
            <w:tcW w:w="1904" w:type="dxa"/>
            <w:vAlign w:val="center"/>
          </w:tcPr>
          <w:p>
            <w:pPr>
              <w:jc w:val="center"/>
              <w:rPr>
                <w:rFonts w:ascii="仿宋" w:hAnsi="仿宋" w:eastAsia="仿宋"/>
                <w:sz w:val="28"/>
                <w:szCs w:val="28"/>
              </w:rPr>
            </w:pPr>
            <w:r>
              <w:rPr>
                <w:rFonts w:hint="eastAsia" w:ascii="仿宋" w:hAnsi="仿宋" w:eastAsia="仿宋"/>
                <w:sz w:val="28"/>
                <w:szCs w:val="28"/>
              </w:rPr>
              <w:t>项目名称</w:t>
            </w:r>
          </w:p>
        </w:tc>
        <w:tc>
          <w:tcPr>
            <w:tcW w:w="1390" w:type="dxa"/>
            <w:vAlign w:val="center"/>
          </w:tcPr>
          <w:p>
            <w:pPr>
              <w:jc w:val="center"/>
              <w:rPr>
                <w:rFonts w:ascii="仿宋" w:hAnsi="仿宋" w:eastAsia="仿宋"/>
                <w:sz w:val="28"/>
                <w:szCs w:val="28"/>
              </w:rPr>
            </w:pPr>
            <w:r>
              <w:rPr>
                <w:rFonts w:hint="eastAsia" w:ascii="仿宋" w:hAnsi="仿宋" w:eastAsia="仿宋"/>
                <w:sz w:val="28"/>
                <w:szCs w:val="28"/>
              </w:rPr>
              <w:t>使用金额</w:t>
            </w:r>
          </w:p>
        </w:tc>
        <w:tc>
          <w:tcPr>
            <w:tcW w:w="2242" w:type="dxa"/>
            <w:vAlign w:val="center"/>
          </w:tcPr>
          <w:p>
            <w:pPr>
              <w:jc w:val="center"/>
              <w:rPr>
                <w:rFonts w:ascii="仿宋" w:hAnsi="仿宋" w:eastAsia="仿宋"/>
                <w:sz w:val="28"/>
                <w:szCs w:val="28"/>
              </w:rPr>
            </w:pPr>
            <w:r>
              <w:rPr>
                <w:rFonts w:hint="eastAsia" w:ascii="仿宋" w:hAnsi="仿宋" w:eastAsia="仿宋"/>
                <w:sz w:val="28"/>
                <w:szCs w:val="28"/>
              </w:rPr>
              <w:t>占使用资金比例</w:t>
            </w:r>
          </w:p>
        </w:tc>
        <w:tc>
          <w:tcPr>
            <w:tcW w:w="2435" w:type="dxa"/>
          </w:tcPr>
          <w:p>
            <w:pPr>
              <w:jc w:val="center"/>
              <w:rPr>
                <w:rFonts w:ascii="仿宋" w:hAnsi="仿宋" w:eastAsia="仿宋"/>
                <w:sz w:val="28"/>
                <w:szCs w:val="28"/>
              </w:rPr>
            </w:pPr>
            <w:r>
              <w:rPr>
                <w:rFonts w:hint="eastAsia" w:ascii="仿宋" w:hAnsi="仿宋" w:eastAsia="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799" w:type="dxa"/>
            <w:vAlign w:val="center"/>
          </w:tcPr>
          <w:p>
            <w:pPr>
              <w:jc w:val="center"/>
              <w:rPr>
                <w:rFonts w:ascii="仿宋" w:hAnsi="仿宋" w:eastAsia="仿宋"/>
                <w:sz w:val="28"/>
                <w:szCs w:val="28"/>
              </w:rPr>
            </w:pPr>
            <w:r>
              <w:rPr>
                <w:rFonts w:hint="eastAsia" w:ascii="仿宋" w:hAnsi="仿宋" w:eastAsia="仿宋"/>
                <w:sz w:val="28"/>
                <w:szCs w:val="28"/>
              </w:rPr>
              <w:t>1</w:t>
            </w:r>
          </w:p>
        </w:tc>
        <w:tc>
          <w:tcPr>
            <w:tcW w:w="1904" w:type="dxa"/>
            <w:vAlign w:val="center"/>
          </w:tcPr>
          <w:p>
            <w:pPr>
              <w:jc w:val="center"/>
              <w:rPr>
                <w:rFonts w:ascii="仿宋" w:hAnsi="仿宋" w:eastAsia="仿宋"/>
                <w:sz w:val="28"/>
                <w:szCs w:val="28"/>
              </w:rPr>
            </w:pPr>
            <w:r>
              <w:rPr>
                <w:rFonts w:hint="eastAsia" w:ascii="仿宋" w:hAnsi="仿宋" w:eastAsia="仿宋"/>
                <w:sz w:val="28"/>
                <w:szCs w:val="28"/>
              </w:rPr>
              <w:t>劳务费</w:t>
            </w:r>
          </w:p>
        </w:tc>
        <w:tc>
          <w:tcPr>
            <w:tcW w:w="1390" w:type="dxa"/>
            <w:vAlign w:val="center"/>
          </w:tcPr>
          <w:p>
            <w:pPr>
              <w:jc w:val="center"/>
              <w:rPr>
                <w:rFonts w:ascii="仿宋" w:hAnsi="仿宋" w:eastAsia="仿宋"/>
                <w:sz w:val="28"/>
                <w:szCs w:val="28"/>
              </w:rPr>
            </w:pPr>
            <w:r>
              <w:rPr>
                <w:rFonts w:hint="eastAsia" w:ascii="仿宋" w:hAnsi="仿宋" w:eastAsia="仿宋"/>
                <w:sz w:val="28"/>
                <w:szCs w:val="28"/>
              </w:rPr>
              <w:t>58.65</w:t>
            </w:r>
          </w:p>
        </w:tc>
        <w:tc>
          <w:tcPr>
            <w:tcW w:w="2242" w:type="dxa"/>
            <w:vAlign w:val="center"/>
          </w:tcPr>
          <w:p>
            <w:pPr>
              <w:jc w:val="center"/>
              <w:rPr>
                <w:rFonts w:ascii="仿宋" w:hAnsi="仿宋" w:eastAsia="仿宋"/>
                <w:sz w:val="28"/>
                <w:szCs w:val="28"/>
              </w:rPr>
            </w:pPr>
            <w:r>
              <w:rPr>
                <w:rFonts w:hint="eastAsia" w:ascii="仿宋" w:hAnsi="仿宋" w:eastAsia="仿宋"/>
                <w:sz w:val="28"/>
                <w:szCs w:val="28"/>
              </w:rPr>
              <w:t>92.1%</w:t>
            </w:r>
          </w:p>
        </w:tc>
        <w:tc>
          <w:tcPr>
            <w:tcW w:w="2435"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799" w:type="dxa"/>
            <w:vAlign w:val="center"/>
          </w:tcPr>
          <w:p>
            <w:pPr>
              <w:jc w:val="center"/>
              <w:rPr>
                <w:rFonts w:ascii="仿宋" w:hAnsi="仿宋" w:eastAsia="仿宋"/>
                <w:sz w:val="28"/>
                <w:szCs w:val="28"/>
              </w:rPr>
            </w:pPr>
            <w:r>
              <w:rPr>
                <w:rFonts w:hint="eastAsia" w:ascii="仿宋" w:hAnsi="仿宋" w:eastAsia="仿宋"/>
                <w:sz w:val="28"/>
                <w:szCs w:val="28"/>
              </w:rPr>
              <w:t>2</w:t>
            </w:r>
          </w:p>
        </w:tc>
        <w:tc>
          <w:tcPr>
            <w:tcW w:w="1904" w:type="dxa"/>
            <w:vAlign w:val="center"/>
          </w:tcPr>
          <w:p>
            <w:pPr>
              <w:jc w:val="center"/>
              <w:rPr>
                <w:rFonts w:ascii="仿宋" w:hAnsi="仿宋" w:eastAsia="仿宋"/>
                <w:sz w:val="28"/>
                <w:szCs w:val="28"/>
              </w:rPr>
            </w:pPr>
            <w:r>
              <w:rPr>
                <w:rFonts w:hint="eastAsia" w:ascii="仿宋" w:hAnsi="仿宋" w:eastAsia="仿宋"/>
                <w:sz w:val="28"/>
                <w:szCs w:val="28"/>
              </w:rPr>
              <w:t>律师业务费</w:t>
            </w:r>
          </w:p>
        </w:tc>
        <w:tc>
          <w:tcPr>
            <w:tcW w:w="1390" w:type="dxa"/>
            <w:vAlign w:val="center"/>
          </w:tcPr>
          <w:p>
            <w:pPr>
              <w:jc w:val="center"/>
              <w:rPr>
                <w:rFonts w:ascii="仿宋" w:hAnsi="仿宋" w:eastAsia="仿宋"/>
                <w:sz w:val="28"/>
                <w:szCs w:val="28"/>
              </w:rPr>
            </w:pPr>
            <w:r>
              <w:rPr>
                <w:rFonts w:hint="eastAsia" w:ascii="仿宋" w:hAnsi="仿宋" w:eastAsia="仿宋"/>
                <w:sz w:val="28"/>
                <w:szCs w:val="28"/>
              </w:rPr>
              <w:t>3.96</w:t>
            </w:r>
          </w:p>
        </w:tc>
        <w:tc>
          <w:tcPr>
            <w:tcW w:w="2242" w:type="dxa"/>
            <w:vAlign w:val="center"/>
          </w:tcPr>
          <w:p>
            <w:pPr>
              <w:jc w:val="center"/>
              <w:rPr>
                <w:rFonts w:ascii="仿宋" w:hAnsi="仿宋" w:eastAsia="仿宋"/>
                <w:sz w:val="28"/>
                <w:szCs w:val="28"/>
              </w:rPr>
            </w:pPr>
            <w:r>
              <w:rPr>
                <w:rFonts w:hint="eastAsia" w:ascii="仿宋" w:hAnsi="仿宋" w:eastAsia="仿宋"/>
                <w:sz w:val="28"/>
                <w:szCs w:val="28"/>
              </w:rPr>
              <w:t>6.22%</w:t>
            </w:r>
          </w:p>
        </w:tc>
        <w:tc>
          <w:tcPr>
            <w:tcW w:w="2435"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799" w:type="dxa"/>
            <w:vAlign w:val="center"/>
          </w:tcPr>
          <w:p>
            <w:pPr>
              <w:jc w:val="center"/>
              <w:rPr>
                <w:rFonts w:ascii="仿宋" w:hAnsi="仿宋" w:eastAsia="仿宋"/>
                <w:sz w:val="28"/>
                <w:szCs w:val="28"/>
              </w:rPr>
            </w:pPr>
            <w:r>
              <w:rPr>
                <w:rFonts w:hint="eastAsia" w:ascii="仿宋" w:hAnsi="仿宋" w:eastAsia="仿宋"/>
                <w:sz w:val="28"/>
                <w:szCs w:val="28"/>
              </w:rPr>
              <w:t>3</w:t>
            </w:r>
          </w:p>
        </w:tc>
        <w:tc>
          <w:tcPr>
            <w:tcW w:w="1904" w:type="dxa"/>
            <w:vAlign w:val="center"/>
          </w:tcPr>
          <w:p>
            <w:pPr>
              <w:jc w:val="center"/>
              <w:rPr>
                <w:rFonts w:ascii="仿宋" w:hAnsi="仿宋" w:eastAsia="仿宋"/>
                <w:sz w:val="28"/>
                <w:szCs w:val="28"/>
              </w:rPr>
            </w:pPr>
            <w:r>
              <w:rPr>
                <w:rFonts w:hint="eastAsia" w:ascii="仿宋" w:hAnsi="仿宋" w:eastAsia="仿宋"/>
                <w:sz w:val="28"/>
                <w:szCs w:val="28"/>
              </w:rPr>
              <w:t>邮电费</w:t>
            </w:r>
          </w:p>
        </w:tc>
        <w:tc>
          <w:tcPr>
            <w:tcW w:w="1390" w:type="dxa"/>
            <w:vAlign w:val="center"/>
          </w:tcPr>
          <w:p>
            <w:pPr>
              <w:jc w:val="center"/>
              <w:rPr>
                <w:rFonts w:ascii="仿宋" w:hAnsi="仿宋" w:eastAsia="仿宋"/>
                <w:sz w:val="28"/>
                <w:szCs w:val="28"/>
              </w:rPr>
            </w:pPr>
            <w:r>
              <w:rPr>
                <w:rFonts w:hint="eastAsia" w:ascii="仿宋" w:hAnsi="仿宋" w:eastAsia="仿宋"/>
                <w:sz w:val="28"/>
                <w:szCs w:val="28"/>
              </w:rPr>
              <w:t>0.07</w:t>
            </w:r>
          </w:p>
        </w:tc>
        <w:tc>
          <w:tcPr>
            <w:tcW w:w="2242" w:type="dxa"/>
            <w:vAlign w:val="center"/>
          </w:tcPr>
          <w:p>
            <w:pPr>
              <w:jc w:val="center"/>
              <w:rPr>
                <w:rFonts w:ascii="仿宋" w:hAnsi="仿宋" w:eastAsia="仿宋"/>
                <w:sz w:val="28"/>
                <w:szCs w:val="28"/>
              </w:rPr>
            </w:pPr>
            <w:r>
              <w:rPr>
                <w:rFonts w:hint="eastAsia" w:ascii="仿宋" w:hAnsi="仿宋" w:eastAsia="仿宋"/>
                <w:sz w:val="28"/>
                <w:szCs w:val="28"/>
              </w:rPr>
              <w:t>0.11%</w:t>
            </w:r>
          </w:p>
        </w:tc>
        <w:tc>
          <w:tcPr>
            <w:tcW w:w="2435"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799" w:type="dxa"/>
            <w:vAlign w:val="center"/>
          </w:tcPr>
          <w:p>
            <w:pPr>
              <w:jc w:val="center"/>
              <w:rPr>
                <w:rFonts w:ascii="仿宋" w:hAnsi="仿宋" w:eastAsia="仿宋"/>
                <w:sz w:val="28"/>
                <w:szCs w:val="28"/>
              </w:rPr>
            </w:pPr>
            <w:r>
              <w:rPr>
                <w:rFonts w:hint="eastAsia" w:ascii="仿宋" w:hAnsi="仿宋" w:eastAsia="仿宋"/>
                <w:sz w:val="28"/>
                <w:szCs w:val="28"/>
              </w:rPr>
              <w:t>4</w:t>
            </w:r>
          </w:p>
        </w:tc>
        <w:tc>
          <w:tcPr>
            <w:tcW w:w="1904" w:type="dxa"/>
            <w:vAlign w:val="center"/>
          </w:tcPr>
          <w:p>
            <w:pPr>
              <w:jc w:val="center"/>
              <w:rPr>
                <w:rFonts w:ascii="仿宋" w:hAnsi="仿宋" w:eastAsia="仿宋"/>
                <w:sz w:val="28"/>
                <w:szCs w:val="28"/>
              </w:rPr>
            </w:pPr>
            <w:r>
              <w:rPr>
                <w:rFonts w:hint="eastAsia" w:ascii="仿宋" w:hAnsi="仿宋" w:eastAsia="仿宋"/>
                <w:sz w:val="28"/>
                <w:szCs w:val="28"/>
              </w:rPr>
              <w:t>E信通</w:t>
            </w:r>
          </w:p>
        </w:tc>
        <w:tc>
          <w:tcPr>
            <w:tcW w:w="1390" w:type="dxa"/>
            <w:vAlign w:val="center"/>
          </w:tcPr>
          <w:p>
            <w:pPr>
              <w:jc w:val="center"/>
              <w:rPr>
                <w:rFonts w:ascii="仿宋" w:hAnsi="仿宋" w:eastAsia="仿宋"/>
                <w:sz w:val="28"/>
                <w:szCs w:val="28"/>
              </w:rPr>
            </w:pPr>
            <w:r>
              <w:rPr>
                <w:rFonts w:hint="eastAsia" w:ascii="仿宋" w:hAnsi="仿宋" w:eastAsia="仿宋"/>
                <w:sz w:val="28"/>
                <w:szCs w:val="28"/>
              </w:rPr>
              <w:t>1</w:t>
            </w:r>
          </w:p>
        </w:tc>
        <w:tc>
          <w:tcPr>
            <w:tcW w:w="2242" w:type="dxa"/>
            <w:vAlign w:val="center"/>
          </w:tcPr>
          <w:p>
            <w:pPr>
              <w:jc w:val="center"/>
              <w:rPr>
                <w:rFonts w:ascii="仿宋" w:hAnsi="仿宋" w:eastAsia="仿宋"/>
                <w:sz w:val="28"/>
                <w:szCs w:val="28"/>
              </w:rPr>
            </w:pPr>
            <w:r>
              <w:rPr>
                <w:rFonts w:hint="eastAsia" w:ascii="仿宋" w:hAnsi="仿宋" w:eastAsia="仿宋"/>
                <w:sz w:val="28"/>
                <w:szCs w:val="28"/>
              </w:rPr>
              <w:t>1.57%</w:t>
            </w:r>
          </w:p>
        </w:tc>
        <w:tc>
          <w:tcPr>
            <w:tcW w:w="2435"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703" w:type="dxa"/>
            <w:gridSpan w:val="2"/>
            <w:vAlign w:val="center"/>
          </w:tcPr>
          <w:p>
            <w:pPr>
              <w:jc w:val="center"/>
              <w:rPr>
                <w:rFonts w:ascii="仿宋" w:hAnsi="仿宋" w:eastAsia="仿宋"/>
                <w:sz w:val="28"/>
                <w:szCs w:val="28"/>
              </w:rPr>
            </w:pPr>
            <w:r>
              <w:rPr>
                <w:rFonts w:hint="eastAsia" w:ascii="仿宋" w:hAnsi="仿宋" w:eastAsia="仿宋"/>
                <w:sz w:val="28"/>
                <w:szCs w:val="28"/>
              </w:rPr>
              <w:t>合计：</w:t>
            </w:r>
          </w:p>
        </w:tc>
        <w:tc>
          <w:tcPr>
            <w:tcW w:w="1390" w:type="dxa"/>
            <w:vAlign w:val="center"/>
          </w:tcPr>
          <w:p>
            <w:pPr>
              <w:jc w:val="center"/>
              <w:rPr>
                <w:rFonts w:ascii="仿宋" w:hAnsi="仿宋" w:eastAsia="仿宋"/>
                <w:sz w:val="28"/>
                <w:szCs w:val="28"/>
              </w:rPr>
            </w:pPr>
            <w:r>
              <w:rPr>
                <w:rFonts w:hint="eastAsia" w:ascii="仿宋" w:hAnsi="仿宋" w:eastAsia="仿宋"/>
                <w:sz w:val="28"/>
                <w:szCs w:val="28"/>
              </w:rPr>
              <w:t>63.68</w:t>
            </w:r>
          </w:p>
        </w:tc>
        <w:tc>
          <w:tcPr>
            <w:tcW w:w="2242" w:type="dxa"/>
            <w:vAlign w:val="center"/>
          </w:tcPr>
          <w:p>
            <w:pPr>
              <w:jc w:val="center"/>
              <w:rPr>
                <w:rFonts w:ascii="仿宋" w:hAnsi="仿宋" w:eastAsia="仿宋"/>
                <w:sz w:val="28"/>
                <w:szCs w:val="28"/>
              </w:rPr>
            </w:pPr>
            <w:r>
              <w:rPr>
                <w:rFonts w:hint="eastAsia" w:ascii="仿宋" w:hAnsi="仿宋" w:eastAsia="仿宋"/>
                <w:sz w:val="28"/>
                <w:szCs w:val="28"/>
              </w:rPr>
              <w:t>100%</w:t>
            </w:r>
          </w:p>
        </w:tc>
        <w:tc>
          <w:tcPr>
            <w:tcW w:w="2435" w:type="dxa"/>
          </w:tcPr>
          <w:p>
            <w:pPr>
              <w:jc w:val="center"/>
              <w:rPr>
                <w:rFonts w:ascii="仿宋" w:hAnsi="仿宋" w:eastAsia="仿宋"/>
                <w:sz w:val="28"/>
                <w:szCs w:val="28"/>
              </w:rPr>
            </w:pPr>
            <w:r>
              <w:rPr>
                <w:rFonts w:hint="eastAsia" w:ascii="仿宋" w:hAnsi="仿宋" w:eastAsia="仿宋"/>
                <w:sz w:val="28"/>
                <w:szCs w:val="28"/>
              </w:rPr>
              <w:t>结余资金7.99万</w:t>
            </w:r>
          </w:p>
        </w:tc>
      </w:tr>
    </w:tbl>
    <w:p>
      <w:pPr>
        <w:ind w:firstLine="480"/>
        <w:rPr>
          <w:rFonts w:asciiTheme="majorEastAsia" w:hAnsiTheme="majorEastAsia" w:eastAsiaTheme="majorEastAsia"/>
          <w:b/>
          <w:sz w:val="32"/>
          <w:szCs w:val="32"/>
        </w:rPr>
      </w:pPr>
      <w:r>
        <w:rPr>
          <w:rFonts w:hint="eastAsia" w:ascii="仿宋" w:hAnsi="仿宋" w:eastAsia="仿宋"/>
          <w:sz w:val="28"/>
          <w:szCs w:val="28"/>
        </w:rPr>
        <w:t>（三）项目资金管理情况。</w:t>
      </w:r>
      <w:r>
        <w:rPr>
          <w:rFonts w:hint="eastAsia" w:ascii="仿宋" w:hAnsi="仿宋" w:eastAsia="仿宋" w:cstheme="minorBidi"/>
          <w:kern w:val="2"/>
          <w:sz w:val="30"/>
          <w:szCs w:val="30"/>
          <w:lang w:val="en-US" w:eastAsia="zh-CN" w:bidi="ar-SA"/>
        </w:rPr>
        <w:t>该项目无专门制定的资金管理制度，严格按照财政支出管理制度使用经费，定期对专项资金使用情况进行全面自查，确保资金专款专用。</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30"/>
          <w:szCs w:val="30"/>
        </w:rPr>
      </w:pPr>
      <w:r>
        <w:rPr>
          <w:rFonts w:hint="eastAsia" w:ascii="仿宋" w:hAnsi="仿宋" w:eastAsia="仿宋"/>
          <w:sz w:val="28"/>
          <w:szCs w:val="28"/>
        </w:rPr>
        <w:t>(一)</w:t>
      </w:r>
      <w:r>
        <w:rPr>
          <w:rFonts w:hint="eastAsia" w:ascii="仿宋" w:hAnsi="仿宋" w:eastAsia="仿宋"/>
          <w:sz w:val="30"/>
          <w:szCs w:val="30"/>
        </w:rPr>
        <w:t>制度建设情况。为保障该政府购买服务专项目资金的合理利用，提高资金使用效益，促进社区矫正及法律服务工作的顺利开展，南县司法局就该项目实施制定并印发了《南县社区矫正工作考核办法》等文件，保障了该项目的顺利实施。</w:t>
      </w:r>
    </w:p>
    <w:p>
      <w:pPr>
        <w:ind w:firstLine="450" w:firstLineChars="150"/>
        <w:rPr>
          <w:rFonts w:ascii="仿宋" w:hAnsi="仿宋" w:eastAsia="仿宋"/>
          <w:sz w:val="30"/>
          <w:szCs w:val="30"/>
        </w:rPr>
      </w:pPr>
      <w:r>
        <w:rPr>
          <w:rFonts w:hint="eastAsia" w:ascii="仿宋" w:hAnsi="仿宋" w:eastAsia="仿宋"/>
          <w:sz w:val="30"/>
          <w:szCs w:val="30"/>
        </w:rPr>
        <w:t>（二）项目实施情况。</w:t>
      </w:r>
    </w:p>
    <w:p>
      <w:pPr>
        <w:ind w:firstLine="600" w:firstLineChars="200"/>
        <w:rPr>
          <w:rFonts w:asciiTheme="majorEastAsia" w:hAnsiTheme="majorEastAsia" w:eastAsiaTheme="majorEastAsia"/>
          <w:b/>
          <w:sz w:val="32"/>
          <w:szCs w:val="32"/>
        </w:rPr>
      </w:pPr>
      <w:r>
        <w:rPr>
          <w:rFonts w:hint="eastAsia" w:ascii="仿宋" w:hAnsi="仿宋" w:eastAsia="仿宋"/>
          <w:sz w:val="30"/>
          <w:szCs w:val="30"/>
        </w:rPr>
        <w:t>南县司法局针对该专项制定了具体的工作措施：一是按照含 社保待遇2677.95元/人委托国盛保安公司招聘社区矫正社会工作者；二是按照4400元/月委托金剑律师事务所指派律师坐班。具体工作实施如下：</w:t>
      </w:r>
    </w:p>
    <w:p>
      <w:pPr>
        <w:shd w:val="clear" w:color="auto" w:fill="FFFFFF"/>
        <w:spacing w:line="555" w:lineRule="atLeast"/>
        <w:ind w:firstLine="560" w:firstLineChars="200"/>
        <w:rPr>
          <w:rFonts w:ascii="仿宋" w:hAnsi="仿宋" w:eastAsia="仿宋"/>
          <w:sz w:val="28"/>
          <w:szCs w:val="28"/>
        </w:rPr>
      </w:pPr>
      <w:r>
        <w:rPr>
          <w:rFonts w:hint="eastAsia" w:ascii="仿宋" w:hAnsi="仿宋" w:eastAsia="仿宋"/>
          <w:sz w:val="28"/>
          <w:szCs w:val="28"/>
        </w:rPr>
        <w:t>1.拟订全县政企购买服务行政工作的具体贯彻实施意见，参与有关部门修订规范性文件，编制司法行政工作的中长期规划、年度计划并监督实施。</w:t>
      </w:r>
    </w:p>
    <w:p>
      <w:pPr>
        <w:shd w:val="clear" w:color="auto" w:fill="FFFFFF"/>
        <w:spacing w:line="555" w:lineRule="atLeast"/>
        <w:ind w:firstLine="560" w:firstLineChars="200"/>
        <w:rPr>
          <w:rFonts w:ascii="仿宋" w:hAnsi="仿宋" w:eastAsia="仿宋"/>
          <w:sz w:val="28"/>
          <w:szCs w:val="28"/>
        </w:rPr>
      </w:pPr>
      <w:r>
        <w:rPr>
          <w:rFonts w:hint="eastAsia" w:ascii="仿宋" w:hAnsi="仿宋" w:eastAsia="仿宋"/>
          <w:sz w:val="28"/>
          <w:szCs w:val="28"/>
        </w:rPr>
        <w:t>2、加强对社区矫正社会工作者的教育培训和绩效考核，严格按照规定对律师坐班情况进行考核。</w:t>
      </w:r>
    </w:p>
    <w:p>
      <w:pPr>
        <w:shd w:val="clear" w:color="auto" w:fill="FFFFFF"/>
        <w:spacing w:line="315" w:lineRule="atLeast"/>
        <w:rPr>
          <w:rFonts w:ascii="仿宋" w:hAnsi="仿宋" w:eastAsia="仿宋"/>
          <w:sz w:val="28"/>
          <w:szCs w:val="28"/>
        </w:rPr>
      </w:pPr>
      <w:r>
        <w:rPr>
          <w:rFonts w:hint="eastAsia" w:ascii="仿宋" w:hAnsi="仿宋" w:eastAsia="仿宋"/>
          <w:sz w:val="28"/>
          <w:szCs w:val="28"/>
        </w:rPr>
        <w:t>   3.完善档案、台账，规范政府购买服务工作流程。</w:t>
      </w:r>
    </w:p>
    <w:p>
      <w:pPr>
        <w:shd w:val="clear" w:color="auto" w:fill="FFFFFF"/>
        <w:spacing w:line="315" w:lineRule="atLeast"/>
        <w:ind w:firstLine="560" w:firstLineChars="200"/>
        <w:rPr>
          <w:rFonts w:ascii="仿宋" w:hAnsi="仿宋" w:eastAsia="仿宋"/>
          <w:sz w:val="28"/>
          <w:szCs w:val="28"/>
        </w:rPr>
      </w:pPr>
      <w:r>
        <w:rPr>
          <w:rFonts w:hint="eastAsia" w:ascii="仿宋" w:hAnsi="仿宋" w:eastAsia="仿宋"/>
          <w:sz w:val="28"/>
          <w:szCs w:val="28"/>
        </w:rPr>
        <w:t>4.指导、管理、监督全区律师事务所、社会法律服务机构及其工作人员等的工作职责。</w:t>
      </w:r>
    </w:p>
    <w:p>
      <w:pPr>
        <w:shd w:val="clear" w:color="auto" w:fill="FFFFFF"/>
        <w:spacing w:line="315" w:lineRule="atLeast"/>
        <w:rPr>
          <w:rFonts w:ascii="仿宋" w:hAnsi="仿宋" w:eastAsia="仿宋"/>
          <w:sz w:val="28"/>
          <w:szCs w:val="28"/>
        </w:rPr>
      </w:pPr>
      <w:r>
        <w:rPr>
          <w:rFonts w:hint="eastAsia" w:ascii="仿宋" w:hAnsi="仿宋" w:eastAsia="仿宋"/>
          <w:sz w:val="28"/>
          <w:szCs w:val="28"/>
        </w:rPr>
        <w:t>   5.管理基层司法所、基层人民调解委员会、法律服务所、社会矛盾调处中心；管理南县法律服务工作者协会。</w:t>
      </w:r>
    </w:p>
    <w:p>
      <w:pPr>
        <w:shd w:val="clear" w:color="auto" w:fill="FFFFFF"/>
        <w:spacing w:line="315" w:lineRule="atLeast"/>
        <w:ind w:firstLine="482" w:firstLineChars="150"/>
        <w:rPr>
          <w:rFonts w:ascii="仿宋" w:hAnsi="仿宋" w:eastAsia="仿宋"/>
          <w:sz w:val="28"/>
          <w:szCs w:val="28"/>
        </w:rPr>
      </w:pPr>
      <w:r>
        <w:rPr>
          <w:rFonts w:hint="eastAsia" w:asciiTheme="majorEastAsia" w:hAnsiTheme="majorEastAsia" w:eastAsiaTheme="majorEastAsia"/>
          <w:b/>
          <w:sz w:val="32"/>
          <w:szCs w:val="32"/>
        </w:rPr>
        <w:t>四、绩效评价工作情况</w:t>
      </w:r>
    </w:p>
    <w:p>
      <w:pPr>
        <w:ind w:firstLine="480"/>
        <w:rPr>
          <w:rFonts w:ascii="仿宋" w:hAnsi="仿宋" w:eastAsia="仿宋"/>
          <w:sz w:val="28"/>
          <w:szCs w:val="28"/>
        </w:rPr>
      </w:pPr>
      <w:r>
        <w:rPr>
          <w:rFonts w:hint="eastAsia" w:ascii="仿宋" w:hAnsi="仿宋" w:eastAsia="仿宋"/>
          <w:sz w:val="28"/>
          <w:szCs w:val="28"/>
        </w:rPr>
        <w:t>（一）绩效评价目的</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通过绩效评价全面分析该项目资金使用、管理和项目实施情况，进一步规范南县司法局办案业务专项工作经费使用、管理制度，强化财政资金支出绩效理念，切实提高财政资金使用效益。</w:t>
      </w:r>
    </w:p>
    <w:p>
      <w:pPr>
        <w:ind w:left="210" w:leftChars="100" w:firstLine="420" w:firstLineChars="15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eastAsia="zh-CN"/>
        </w:rPr>
        <w:t>二</w:t>
      </w:r>
      <w:bookmarkStart w:id="0" w:name="_GoBack"/>
      <w:bookmarkEnd w:id="0"/>
      <w:r>
        <w:rPr>
          <w:rFonts w:hint="eastAsia" w:ascii="仿宋" w:hAnsi="仿宋" w:eastAsia="仿宋"/>
          <w:sz w:val="28"/>
          <w:szCs w:val="28"/>
        </w:rPr>
        <w:t>）绩效评价工作过程</w:t>
      </w:r>
    </w:p>
    <w:p>
      <w:pPr>
        <w:ind w:left="210" w:leftChars="100" w:firstLine="560" w:firstLineChars="200"/>
        <w:rPr>
          <w:rFonts w:ascii="仿宋" w:hAnsi="仿宋" w:eastAsia="仿宋"/>
          <w:sz w:val="28"/>
          <w:szCs w:val="28"/>
        </w:rPr>
      </w:pPr>
      <w:r>
        <w:rPr>
          <w:rFonts w:hint="eastAsia" w:ascii="仿宋" w:hAnsi="仿宋" w:eastAsia="仿宋"/>
          <w:sz w:val="28"/>
          <w:szCs w:val="28"/>
        </w:rPr>
        <w:t>1、前期准备。为做好本次项目绩效评价工作，加强对绩效评价工作的组织领导，确保各项工作的顺利开展，我所抽调了专人成立了由所领导任组长的绩效评价工作小组，统筹指导协调绩效评价工作。同时按省财政厅绩效评价工作的具体要求，认真核查了资金使用、项目建设进展等有关情况，并实地抽查了部分项目实施情况，采集了相关数据，同时根据各项目实施单位上报的财务报表和项目实施情况书面材料进行评价分析，形成评价结论。明确工作职责，制定了现场评价方案，设计了相关表格，联系了相关部门和单位，确定了实施时间。</w:t>
      </w:r>
    </w:p>
    <w:p>
      <w:pPr>
        <w:ind w:firstLine="700" w:firstLineChars="250"/>
        <w:rPr>
          <w:rFonts w:ascii="仿宋" w:hAnsi="仿宋" w:eastAsia="仿宋"/>
          <w:sz w:val="28"/>
          <w:szCs w:val="28"/>
        </w:rPr>
      </w:pPr>
      <w:r>
        <w:rPr>
          <w:rFonts w:hint="eastAsia" w:ascii="仿宋" w:hAnsi="仿宋" w:eastAsia="仿宋"/>
          <w:sz w:val="28"/>
          <w:szCs w:val="28"/>
        </w:rPr>
        <w:t>2、组织实施：核查2018年度政府购买服务项目收入、支出及结余情况；收集整理相关政策法规依据、制度、管理办法或工作细则，相关批文、报告、工作计划、工作总结等；根据具体项目编制绩效评价指标体系；采用问卷调查的方式，对社会公众或服务对象进行满意度调查。</w:t>
      </w:r>
    </w:p>
    <w:p>
      <w:pPr>
        <w:ind w:left="210" w:leftChars="100" w:firstLine="560" w:firstLineChars="200"/>
        <w:rPr>
          <w:rFonts w:asciiTheme="majorEastAsia" w:hAnsiTheme="majorEastAsia" w:eastAsiaTheme="majorEastAsia"/>
          <w:b/>
          <w:sz w:val="32"/>
          <w:szCs w:val="32"/>
        </w:rPr>
      </w:pPr>
      <w:r>
        <w:rPr>
          <w:rFonts w:hint="eastAsia" w:ascii="仿宋" w:hAnsi="仿宋" w:eastAsia="仿宋"/>
          <w:sz w:val="28"/>
          <w:szCs w:val="28"/>
        </w:rPr>
        <w:t>3、分析评价：对核查的会计数据和收集的资料进行整理归纳汇总分析，依据部门项目支出绩效评价指标体系进行评分，形成南县司法局政府购买服务项目支出绩效评价报告。</w:t>
      </w:r>
    </w:p>
    <w:p>
      <w:pPr>
        <w:pStyle w:val="8"/>
        <w:numPr>
          <w:ilvl w:val="0"/>
          <w:numId w:val="1"/>
        </w:numPr>
        <w:rPr>
          <w:rFonts w:asciiTheme="majorEastAsia" w:hAnsiTheme="majorEastAsia" w:eastAsiaTheme="majorEastAsia"/>
          <w:b/>
          <w:sz w:val="32"/>
          <w:szCs w:val="32"/>
        </w:rPr>
      </w:pPr>
      <w:r>
        <w:rPr>
          <w:rFonts w:hint="eastAsia" w:asciiTheme="majorEastAsia" w:hAnsiTheme="majorEastAsia" w:eastAsiaTheme="majorEastAsia"/>
          <w:b/>
          <w:sz w:val="32"/>
          <w:szCs w:val="32"/>
        </w:rPr>
        <w:t>绩效评价结果和主要绩效</w:t>
      </w:r>
    </w:p>
    <w:p>
      <w:pPr>
        <w:pStyle w:val="8"/>
        <w:ind w:firstLine="560"/>
        <w:rPr>
          <w:rFonts w:ascii="仿宋" w:hAnsi="仿宋" w:eastAsia="仿宋"/>
          <w:sz w:val="28"/>
          <w:szCs w:val="28"/>
        </w:rPr>
      </w:pPr>
      <w:r>
        <w:rPr>
          <w:rFonts w:hint="eastAsia" w:ascii="仿宋" w:hAnsi="仿宋" w:eastAsia="仿宋"/>
          <w:sz w:val="28"/>
          <w:szCs w:val="28"/>
        </w:rPr>
        <w:t>根据该项目资金绩效评价指标体系和绩效检查情况，该项目整体绩效分值100份，实得</w:t>
      </w:r>
      <w:r>
        <w:rPr>
          <w:rFonts w:hint="eastAsia" w:ascii="仿宋" w:hAnsi="仿宋" w:eastAsia="仿宋"/>
          <w:sz w:val="28"/>
          <w:szCs w:val="28"/>
          <w:lang w:val="en-US" w:eastAsia="zh-CN"/>
        </w:rPr>
        <w:t>73</w:t>
      </w:r>
      <w:r>
        <w:rPr>
          <w:rFonts w:hint="eastAsia" w:ascii="仿宋" w:hAnsi="仿宋" w:eastAsia="仿宋"/>
          <w:sz w:val="28"/>
          <w:szCs w:val="28"/>
        </w:rPr>
        <w:t>分，被评为“良</w:t>
      </w:r>
      <w:r>
        <w:rPr>
          <w:rFonts w:hint="eastAsia" w:ascii="仿宋" w:hAnsi="仿宋" w:eastAsia="仿宋"/>
          <w:sz w:val="28"/>
          <w:szCs w:val="28"/>
          <w:lang w:eastAsia="zh-CN"/>
        </w:rPr>
        <w:t>好</w:t>
      </w:r>
      <w:r>
        <w:rPr>
          <w:rFonts w:hint="eastAsia" w:ascii="仿宋" w:hAnsi="仿宋" w:eastAsia="仿宋"/>
          <w:sz w:val="28"/>
          <w:szCs w:val="28"/>
        </w:rPr>
        <w:t>”。 等级(详见：南县司法局政府购买服务专项工作经费绩效评价指标评分表)。主要绩效表现在以下几个方面：</w:t>
      </w:r>
    </w:p>
    <w:p>
      <w:pPr>
        <w:pStyle w:val="8"/>
        <w:ind w:firstLine="560" w:firstLineChars="200"/>
        <w:rPr>
          <w:rFonts w:ascii="仿宋" w:hAnsi="仿宋" w:eastAsia="仿宋"/>
          <w:sz w:val="28"/>
          <w:szCs w:val="28"/>
        </w:rPr>
      </w:pPr>
      <w:r>
        <w:rPr>
          <w:rFonts w:hint="eastAsia" w:ascii="仿宋" w:hAnsi="仿宋" w:eastAsia="仿宋"/>
          <w:sz w:val="28"/>
          <w:szCs w:val="28"/>
        </w:rPr>
        <w:t>1、项目经济型分析：县司法局社区矫正工作者共计20名，委托国盛保安公司按2677.95元/人招聘，按照4400元/月委托金剑律师事务所指派律师坐班。按照目前我局普通科员工资标准4500元/月/人（含工资津贴、政法津贴、车补），节约资金50.79万元。</w:t>
      </w:r>
    </w:p>
    <w:p>
      <w:pPr>
        <w:pStyle w:val="4"/>
        <w:shd w:val="clear" w:color="auto" w:fill="FFFFFF"/>
        <w:spacing w:before="0" w:beforeAutospacing="0" w:after="0" w:afterAutospacing="0"/>
        <w:ind w:firstLine="560" w:firstLineChars="200"/>
        <w:rPr>
          <w:rFonts w:ascii="仿宋" w:hAnsi="仿宋" w:eastAsia="仿宋"/>
          <w:sz w:val="28"/>
          <w:szCs w:val="28"/>
        </w:rPr>
      </w:pPr>
      <w:r>
        <w:rPr>
          <w:rFonts w:hint="eastAsia" w:ascii="仿宋" w:hAnsi="仿宋" w:eastAsia="仿宋"/>
          <w:sz w:val="28"/>
          <w:szCs w:val="28"/>
        </w:rPr>
        <w:t>2、项目效率性分析：2018年20名社工分配至12个司法所及相关业务股室，协助管理全县387名社区矫正对象，无一脱管漏管；坐班律师接待公共法律服务咨询323人次，法援咨询340人次，咨询管理数119条。</w:t>
      </w:r>
    </w:p>
    <w:p>
      <w:pPr>
        <w:pStyle w:val="4"/>
        <w:shd w:val="clear" w:color="auto" w:fill="FFFFFF"/>
        <w:spacing w:before="0" w:beforeAutospacing="0" w:after="0" w:afterAutospacing="0"/>
        <w:ind w:firstLine="560" w:firstLineChars="200"/>
        <w:rPr>
          <w:rFonts w:hint="eastAsia" w:eastAsia="仿宋" w:asciiTheme="majorEastAsia" w:hAnsiTheme="majorEastAsia"/>
          <w:b/>
          <w:sz w:val="32"/>
          <w:szCs w:val="32"/>
          <w:lang w:eastAsia="zh-CN"/>
        </w:rPr>
      </w:pPr>
      <w:r>
        <w:rPr>
          <w:rFonts w:hint="eastAsia" w:ascii="仿宋" w:hAnsi="仿宋" w:eastAsia="仿宋"/>
          <w:sz w:val="28"/>
          <w:szCs w:val="28"/>
        </w:rPr>
        <w:t>3、项目效益性分析：通过招聘社区矫正社会工作者，减轻了基层人手不足的压力，对社矫对象有了全面的管理；律师坐班为群众提供了更专业的法律咨询等法律服务，维护了社会长期稳定，创建生态社会，提高了群众满意度</w:t>
      </w:r>
      <w:r>
        <w:rPr>
          <w:rFonts w:hint="eastAsia" w:ascii="仿宋" w:hAnsi="仿宋" w:eastAsia="仿宋"/>
          <w:sz w:val="28"/>
          <w:szCs w:val="28"/>
          <w:lang w:eastAsia="zh-CN"/>
        </w:rPr>
        <w:t>。</w:t>
      </w:r>
    </w:p>
    <w:p>
      <w:pPr>
        <w:pStyle w:val="8"/>
        <w:numPr>
          <w:ilvl w:val="0"/>
          <w:numId w:val="1"/>
        </w:numPr>
        <w:rPr>
          <w:rFonts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8"/>
        <w:ind w:firstLine="560" w:firstLineChars="200"/>
        <w:rPr>
          <w:rFonts w:ascii="仿宋" w:hAnsi="仿宋" w:eastAsia="仿宋"/>
          <w:sz w:val="28"/>
          <w:szCs w:val="28"/>
        </w:rPr>
      </w:pPr>
      <w:r>
        <w:rPr>
          <w:rFonts w:hint="eastAsia" w:ascii="仿宋" w:hAnsi="仿宋" w:eastAsia="仿宋"/>
          <w:sz w:val="28"/>
          <w:szCs w:val="28"/>
        </w:rPr>
        <w:t>一、资金发放时效有待进一步加强。根据相关要求，该项目资金应于2018年12月31日之前发放到位。但有部份资金直至2019年1月份才发放完成，影响了财政资金效益的发挥。</w:t>
      </w:r>
    </w:p>
    <w:p>
      <w:pPr>
        <w:pStyle w:val="8"/>
        <w:ind w:firstLine="560" w:firstLineChars="200"/>
        <w:rPr>
          <w:rFonts w:ascii="仿宋" w:hAnsi="仿宋" w:eastAsia="仿宋"/>
          <w:sz w:val="28"/>
          <w:szCs w:val="28"/>
        </w:rPr>
      </w:pPr>
      <w:r>
        <w:rPr>
          <w:rFonts w:hint="eastAsia" w:ascii="仿宋" w:hAnsi="仿宋" w:eastAsia="仿宋"/>
          <w:sz w:val="28"/>
          <w:szCs w:val="28"/>
        </w:rPr>
        <w:t>二、该笔专项资金由县财政直接拨付71.67万元，实际支出63.68万元，结余资金7.99万元。</w:t>
      </w:r>
    </w:p>
    <w:p>
      <w:pPr>
        <w:pStyle w:val="8"/>
        <w:ind w:firstLine="420" w:firstLineChars="150"/>
        <w:rPr>
          <w:rFonts w:ascii="仿宋" w:hAnsi="仿宋" w:eastAsia="仿宋"/>
          <w:sz w:val="28"/>
          <w:szCs w:val="28"/>
        </w:rPr>
      </w:pPr>
      <w:r>
        <w:rPr>
          <w:rFonts w:hint="eastAsia" w:ascii="仿宋" w:hAnsi="仿宋" w:eastAsia="仿宋"/>
          <w:sz w:val="28"/>
          <w:szCs w:val="28"/>
        </w:rPr>
        <w:t xml:space="preserve"> 三、目前该局支付的社区矫正社会工作者的劳务费为2677.95元，代扣代缴社保后，实发工资1749元/月，待遇明显低于其他同类人员，人员激励措施有限，不利于提升工作积极性。</w:t>
      </w:r>
    </w:p>
    <w:p>
      <w:pPr>
        <w:pStyle w:val="8"/>
        <w:ind w:firstLine="560" w:firstLineChars="200"/>
        <w:rPr>
          <w:rFonts w:hint="eastAsia" w:ascii="仿宋" w:hAnsi="仿宋" w:eastAsia="仿宋"/>
          <w:sz w:val="28"/>
          <w:szCs w:val="28"/>
          <w:lang w:eastAsia="zh-CN"/>
        </w:rPr>
      </w:pPr>
      <w:r>
        <w:rPr>
          <w:rFonts w:hint="eastAsia" w:ascii="仿宋" w:hAnsi="仿宋" w:eastAsia="仿宋"/>
          <w:sz w:val="28"/>
          <w:szCs w:val="28"/>
        </w:rPr>
        <w:t>四、项目管理制度不够健全。</w:t>
      </w:r>
      <w:r>
        <w:rPr>
          <w:rFonts w:hint="eastAsia" w:ascii="仿宋" w:hAnsi="仿宋" w:eastAsia="仿宋"/>
          <w:sz w:val="28"/>
          <w:szCs w:val="28"/>
          <w:lang w:eastAsia="zh-CN"/>
        </w:rPr>
        <w:t>没</w:t>
      </w:r>
      <w:r>
        <w:rPr>
          <w:rFonts w:hint="eastAsia" w:ascii="仿宋" w:hAnsi="仿宋" w:eastAsia="仿宋"/>
          <w:sz w:val="28"/>
          <w:szCs w:val="28"/>
        </w:rPr>
        <w:t>有</w:t>
      </w:r>
      <w:r>
        <w:rPr>
          <w:rFonts w:hint="eastAsia" w:ascii="仿宋" w:hAnsi="仿宋" w:eastAsia="仿宋"/>
          <w:sz w:val="28"/>
          <w:szCs w:val="28"/>
          <w:lang w:eastAsia="zh-CN"/>
        </w:rPr>
        <w:t>成立项目管理机构并制定相应</w:t>
      </w:r>
      <w:r>
        <w:rPr>
          <w:rFonts w:hint="eastAsia" w:ascii="仿宋" w:hAnsi="仿宋" w:eastAsia="仿宋"/>
          <w:sz w:val="28"/>
          <w:szCs w:val="28"/>
        </w:rPr>
        <w:t>的项目管理制度</w:t>
      </w:r>
      <w:r>
        <w:rPr>
          <w:rFonts w:hint="eastAsia" w:ascii="仿宋" w:hAnsi="仿宋" w:eastAsia="仿宋"/>
          <w:sz w:val="28"/>
          <w:szCs w:val="28"/>
          <w:lang w:eastAsia="zh-CN"/>
        </w:rPr>
        <w:t>，没有对</w:t>
      </w:r>
      <w:r>
        <w:rPr>
          <w:rFonts w:hint="eastAsia" w:ascii="仿宋" w:hAnsi="仿宋" w:eastAsia="仿宋"/>
          <w:sz w:val="28"/>
          <w:szCs w:val="28"/>
        </w:rPr>
        <w:t>项目实施、资金使用、日常检查监督等</w:t>
      </w:r>
      <w:r>
        <w:rPr>
          <w:rFonts w:hint="eastAsia" w:ascii="仿宋" w:hAnsi="仿宋" w:eastAsia="仿宋"/>
          <w:sz w:val="28"/>
          <w:szCs w:val="28"/>
          <w:lang w:eastAsia="zh-CN"/>
        </w:rPr>
        <w:t>作出明确规定。</w:t>
      </w:r>
    </w:p>
    <w:p>
      <w:pPr>
        <w:pStyle w:val="8"/>
        <w:ind w:firstLine="560" w:firstLineChars="200"/>
        <w:rPr>
          <w:rFonts w:ascii="仿宋" w:hAnsi="仿宋" w:eastAsia="仿宋"/>
          <w:sz w:val="28"/>
          <w:szCs w:val="28"/>
        </w:rPr>
      </w:pPr>
      <w:r>
        <w:rPr>
          <w:rFonts w:hint="eastAsia" w:ascii="仿宋" w:hAnsi="仿宋" w:eastAsia="仿宋"/>
          <w:sz w:val="28"/>
          <w:szCs w:val="28"/>
          <w:lang w:eastAsia="zh-CN"/>
        </w:rPr>
        <w:t>五、</w:t>
      </w:r>
      <w:r>
        <w:rPr>
          <w:rFonts w:hint="eastAsia" w:ascii="仿宋" w:hAnsi="仿宋" w:eastAsia="仿宋"/>
          <w:sz w:val="28"/>
          <w:szCs w:val="28"/>
        </w:rPr>
        <w:t>监督检查工作未到位。监督检查是保证预算执行的重要手段，通过实施内部监督检查，可以及时查找并督促整改财政管理中存在的问题，发挥监督预算、纠偏、评价及监管职能 ，推动财政管理更加规范、科学、合理、高效。本专项工作经费没有受到财政或主管部门的监督检查。</w:t>
      </w:r>
    </w:p>
    <w:p>
      <w:pPr>
        <w:pStyle w:val="8"/>
        <w:ind w:firstLine="643" w:firstLineChars="200"/>
        <w:rPr>
          <w:rFonts w:asciiTheme="majorEastAsia" w:hAnsiTheme="majorEastAsia" w:eastAsiaTheme="majorEastAsia"/>
          <w:b/>
          <w:sz w:val="32"/>
          <w:szCs w:val="32"/>
        </w:rPr>
      </w:pPr>
    </w:p>
    <w:p>
      <w:pPr>
        <w:pStyle w:val="8"/>
        <w:numPr>
          <w:ilvl w:val="0"/>
          <w:numId w:val="1"/>
        </w:numPr>
        <w:rPr>
          <w:rFonts w:asciiTheme="majorEastAsia" w:hAnsiTheme="majorEastAsia" w:eastAsiaTheme="majorEastAsia"/>
          <w:b/>
          <w:sz w:val="32"/>
          <w:szCs w:val="32"/>
        </w:rPr>
      </w:pPr>
      <w:r>
        <w:rPr>
          <w:rFonts w:hint="eastAsia" w:asciiTheme="majorEastAsia" w:hAnsiTheme="majorEastAsia" w:eastAsiaTheme="majorEastAsia"/>
          <w:b/>
          <w:sz w:val="32"/>
          <w:szCs w:val="32"/>
        </w:rPr>
        <w:t>建议</w:t>
      </w:r>
    </w:p>
    <w:p>
      <w:pPr>
        <w:pStyle w:val="8"/>
        <w:ind w:firstLine="560" w:firstLineChars="200"/>
        <w:rPr>
          <w:rFonts w:ascii="仿宋" w:hAnsi="仿宋" w:eastAsia="仿宋"/>
          <w:sz w:val="28"/>
          <w:szCs w:val="28"/>
        </w:rPr>
      </w:pPr>
      <w:r>
        <w:rPr>
          <w:rFonts w:hint="eastAsia" w:ascii="仿宋" w:hAnsi="仿宋" w:eastAsia="仿宋"/>
          <w:sz w:val="28"/>
          <w:szCs w:val="28"/>
        </w:rPr>
        <w:t>一、</w:t>
      </w:r>
      <w:r>
        <w:rPr>
          <w:rFonts w:hint="eastAsia" w:ascii="仿宋" w:hAnsi="仿宋" w:eastAsia="仿宋"/>
          <w:sz w:val="28"/>
          <w:szCs w:val="28"/>
          <w:lang w:eastAsia="zh-CN"/>
        </w:rPr>
        <w:t>加强专项资金的管控力度，</w:t>
      </w:r>
      <w:r>
        <w:rPr>
          <w:rFonts w:hint="eastAsia" w:ascii="仿宋" w:hAnsi="仿宋" w:eastAsia="仿宋"/>
          <w:sz w:val="28"/>
          <w:szCs w:val="28"/>
        </w:rPr>
        <w:t>确保项目资金及时到位</w:t>
      </w:r>
      <w:r>
        <w:rPr>
          <w:rFonts w:hint="eastAsia" w:ascii="仿宋" w:hAnsi="仿宋" w:eastAsia="仿宋"/>
          <w:sz w:val="28"/>
          <w:szCs w:val="28"/>
          <w:lang w:eastAsia="zh-CN"/>
        </w:rPr>
        <w:t>。</w:t>
      </w:r>
      <w:r>
        <w:rPr>
          <w:rFonts w:hint="eastAsia" w:ascii="仿宋" w:hAnsi="仿宋" w:eastAsia="仿宋"/>
          <w:sz w:val="28"/>
          <w:szCs w:val="28"/>
        </w:rPr>
        <w:t>完善资金管理制度，规范资金分配。根据相关文件精神，制定项目资金分配方法，明确发展目标、支持方向、申报范围和程序、资金拨付等，并组织实施。</w:t>
      </w:r>
    </w:p>
    <w:p>
      <w:pPr>
        <w:pStyle w:val="8"/>
        <w:ind w:firstLine="560" w:firstLineChars="200"/>
        <w:rPr>
          <w:rFonts w:hint="eastAsia" w:ascii="仿宋" w:hAnsi="仿宋" w:eastAsia="仿宋"/>
          <w:sz w:val="28"/>
          <w:szCs w:val="28"/>
          <w:lang w:eastAsia="zh-CN"/>
        </w:rPr>
      </w:pPr>
      <w:r>
        <w:rPr>
          <w:rFonts w:hint="eastAsia" w:ascii="仿宋" w:hAnsi="仿宋" w:eastAsia="仿宋"/>
          <w:sz w:val="28"/>
          <w:szCs w:val="28"/>
        </w:rPr>
        <w:t>二、</w:t>
      </w:r>
      <w:r>
        <w:rPr>
          <w:rFonts w:hint="eastAsia" w:ascii="仿宋" w:hAnsi="仿宋" w:eastAsia="仿宋"/>
          <w:sz w:val="28"/>
          <w:szCs w:val="28"/>
          <w:lang w:eastAsia="zh-CN"/>
        </w:rPr>
        <w:t>加强财政预算的编制水平，在控制支出的前提下充分发挥财政资金的使用效率。</w:t>
      </w:r>
    </w:p>
    <w:p>
      <w:pPr>
        <w:pStyle w:val="8"/>
        <w:ind w:firstLine="560" w:firstLineChars="200"/>
        <w:rPr>
          <w:rFonts w:ascii="仿宋" w:hAnsi="仿宋" w:eastAsia="仿宋"/>
          <w:sz w:val="28"/>
          <w:szCs w:val="28"/>
        </w:rPr>
      </w:pPr>
      <w:r>
        <w:rPr>
          <w:rFonts w:hint="eastAsia" w:ascii="仿宋" w:hAnsi="仿宋" w:eastAsia="仿宋"/>
          <w:sz w:val="28"/>
          <w:szCs w:val="28"/>
        </w:rPr>
        <w:t>三、建立完善政府购买服务经费保费机制，争取全方位的经费保障确保各项工作的顺利开展。</w:t>
      </w:r>
    </w:p>
    <w:p>
      <w:pPr>
        <w:pStyle w:val="8"/>
        <w:ind w:firstLine="480"/>
        <w:rPr>
          <w:rFonts w:hint="eastAsia" w:ascii="仿宋" w:hAnsi="仿宋" w:eastAsia="仿宋"/>
          <w:sz w:val="28"/>
          <w:szCs w:val="28"/>
          <w:lang w:eastAsia="zh-CN"/>
        </w:rPr>
      </w:pPr>
      <w:r>
        <w:rPr>
          <w:rFonts w:hint="eastAsia" w:ascii="仿宋" w:hAnsi="仿宋" w:eastAsia="仿宋"/>
          <w:sz w:val="28"/>
          <w:szCs w:val="28"/>
        </w:rPr>
        <w:t>四、项目管理制度有待完善。</w:t>
      </w:r>
      <w:r>
        <w:rPr>
          <w:rFonts w:hint="eastAsia" w:ascii="仿宋" w:hAnsi="仿宋" w:eastAsia="仿宋"/>
          <w:sz w:val="28"/>
          <w:szCs w:val="28"/>
          <w:lang w:eastAsia="zh-CN"/>
        </w:rPr>
        <w:t>项目的实施，应当成立专门的项目管理机构，明确相关责任人员；制定</w:t>
      </w:r>
      <w:r>
        <w:rPr>
          <w:rFonts w:hint="eastAsia" w:ascii="仿宋" w:hAnsi="仿宋" w:eastAsia="仿宋"/>
          <w:sz w:val="28"/>
          <w:szCs w:val="28"/>
        </w:rPr>
        <w:t>内容</w:t>
      </w:r>
      <w:r>
        <w:rPr>
          <w:rFonts w:hint="eastAsia" w:ascii="仿宋" w:hAnsi="仿宋" w:eastAsia="仿宋"/>
          <w:sz w:val="28"/>
          <w:szCs w:val="28"/>
          <w:lang w:eastAsia="zh-CN"/>
        </w:rPr>
        <w:t>比较</w:t>
      </w:r>
      <w:r>
        <w:rPr>
          <w:rFonts w:hint="eastAsia" w:ascii="仿宋" w:hAnsi="仿宋" w:eastAsia="仿宋"/>
          <w:sz w:val="28"/>
          <w:szCs w:val="28"/>
        </w:rPr>
        <w:t>完整</w:t>
      </w:r>
      <w:r>
        <w:rPr>
          <w:rFonts w:hint="eastAsia" w:ascii="仿宋" w:hAnsi="仿宋" w:eastAsia="仿宋"/>
          <w:sz w:val="28"/>
          <w:szCs w:val="28"/>
          <w:lang w:eastAsia="zh-CN"/>
        </w:rPr>
        <w:t>的</w:t>
      </w:r>
      <w:r>
        <w:rPr>
          <w:rFonts w:hint="eastAsia" w:ascii="仿宋" w:hAnsi="仿宋" w:eastAsia="仿宋"/>
          <w:sz w:val="28"/>
          <w:szCs w:val="28"/>
        </w:rPr>
        <w:t>项目管理制度</w:t>
      </w:r>
      <w:r>
        <w:rPr>
          <w:rFonts w:hint="eastAsia" w:ascii="仿宋" w:hAnsi="仿宋" w:eastAsia="仿宋"/>
          <w:sz w:val="28"/>
          <w:szCs w:val="28"/>
          <w:lang w:eastAsia="zh-CN"/>
        </w:rPr>
        <w:t>，对</w:t>
      </w:r>
      <w:r>
        <w:rPr>
          <w:rFonts w:hint="eastAsia" w:ascii="仿宋" w:hAnsi="仿宋" w:eastAsia="仿宋"/>
          <w:sz w:val="28"/>
          <w:szCs w:val="28"/>
        </w:rPr>
        <w:t>项目</w:t>
      </w:r>
      <w:r>
        <w:rPr>
          <w:rFonts w:hint="eastAsia" w:ascii="仿宋" w:hAnsi="仿宋" w:eastAsia="仿宋"/>
          <w:sz w:val="28"/>
          <w:szCs w:val="28"/>
          <w:lang w:eastAsia="zh-CN"/>
        </w:rPr>
        <w:t>的</w:t>
      </w:r>
      <w:r>
        <w:rPr>
          <w:rFonts w:hint="eastAsia" w:ascii="仿宋" w:hAnsi="仿宋" w:eastAsia="仿宋"/>
          <w:sz w:val="28"/>
          <w:szCs w:val="28"/>
        </w:rPr>
        <w:t>实施和</w:t>
      </w:r>
      <w:r>
        <w:rPr>
          <w:rFonts w:hint="eastAsia" w:ascii="仿宋" w:hAnsi="仿宋" w:eastAsia="仿宋"/>
          <w:sz w:val="28"/>
          <w:szCs w:val="28"/>
          <w:lang w:eastAsia="zh-CN"/>
        </w:rPr>
        <w:t>专项</w:t>
      </w:r>
      <w:r>
        <w:rPr>
          <w:rFonts w:hint="eastAsia" w:ascii="仿宋" w:hAnsi="仿宋" w:eastAsia="仿宋"/>
          <w:sz w:val="28"/>
          <w:szCs w:val="28"/>
        </w:rPr>
        <w:t>资金</w:t>
      </w:r>
      <w:r>
        <w:rPr>
          <w:rFonts w:hint="eastAsia" w:ascii="仿宋" w:hAnsi="仿宋" w:eastAsia="仿宋"/>
          <w:sz w:val="28"/>
          <w:szCs w:val="28"/>
          <w:lang w:eastAsia="zh-CN"/>
        </w:rPr>
        <w:t>的</w:t>
      </w:r>
      <w:r>
        <w:rPr>
          <w:rFonts w:hint="eastAsia" w:ascii="仿宋" w:hAnsi="仿宋" w:eastAsia="仿宋"/>
          <w:sz w:val="28"/>
          <w:szCs w:val="28"/>
        </w:rPr>
        <w:t>管理</w:t>
      </w:r>
      <w:r>
        <w:rPr>
          <w:rFonts w:hint="eastAsia" w:ascii="仿宋" w:hAnsi="仿宋" w:eastAsia="仿宋"/>
          <w:sz w:val="28"/>
          <w:szCs w:val="28"/>
          <w:lang w:eastAsia="zh-CN"/>
        </w:rPr>
        <w:t>均有章可依、有据可查。</w:t>
      </w:r>
    </w:p>
    <w:p>
      <w:pPr>
        <w:ind w:firstLine="560" w:firstLineChars="200"/>
        <w:rPr>
          <w:rFonts w:ascii="仿宋" w:hAnsi="仿宋" w:eastAsia="仿宋"/>
          <w:sz w:val="28"/>
          <w:szCs w:val="28"/>
        </w:rPr>
      </w:pPr>
      <w:r>
        <w:rPr>
          <w:rFonts w:hint="eastAsia" w:ascii="仿宋" w:hAnsi="仿宋" w:eastAsia="仿宋"/>
          <w:sz w:val="28"/>
          <w:szCs w:val="28"/>
          <w:lang w:eastAsia="zh-CN"/>
        </w:rPr>
        <w:t>五、</w:t>
      </w:r>
      <w:r>
        <w:rPr>
          <w:rFonts w:hint="eastAsia" w:ascii="仿宋" w:hAnsi="仿宋" w:eastAsia="仿宋"/>
          <w:sz w:val="28"/>
          <w:szCs w:val="28"/>
        </w:rPr>
        <w:t>为了保证财政预算的执行质量，杜绝暗箱操作或腐败行为，保证财政预算的编制效果，因而必须要采取切实措施加强对预算执行情况的监督检查，以规范各有关预算执行部门的行为。</w:t>
      </w:r>
    </w:p>
    <w:p>
      <w:pPr>
        <w:pStyle w:val="8"/>
        <w:ind w:firstLine="560" w:firstLineChars="200"/>
        <w:rPr>
          <w:rFonts w:ascii="仿宋" w:hAnsi="仿宋" w:eastAsia="仿宋"/>
          <w:sz w:val="28"/>
          <w:szCs w:val="28"/>
        </w:rPr>
      </w:pPr>
    </w:p>
    <w:p>
      <w:pPr>
        <w:pStyle w:val="8"/>
        <w:ind w:left="482" w:firstLine="420" w:firstLineChars="150"/>
        <w:rPr>
          <w:rFonts w:ascii="仿宋" w:hAnsi="仿宋" w:eastAsia="仿宋"/>
          <w:sz w:val="28"/>
          <w:szCs w:val="28"/>
        </w:rPr>
      </w:pPr>
    </w:p>
    <w:p>
      <w:pPr>
        <w:pStyle w:val="8"/>
        <w:ind w:left="482" w:firstLine="420" w:firstLineChars="150"/>
        <w:rPr>
          <w:rFonts w:ascii="仿宋" w:hAnsi="仿宋" w:eastAsia="仿宋"/>
          <w:sz w:val="28"/>
          <w:szCs w:val="28"/>
        </w:rPr>
      </w:pPr>
    </w:p>
    <w:p>
      <w:pPr>
        <w:pStyle w:val="8"/>
        <w:ind w:left="482" w:firstLine="4480" w:firstLineChars="1600"/>
        <w:rPr>
          <w:rFonts w:ascii="仿宋" w:hAnsi="仿宋" w:eastAsia="仿宋"/>
          <w:sz w:val="28"/>
          <w:szCs w:val="28"/>
        </w:rPr>
      </w:pPr>
      <w:r>
        <w:rPr>
          <w:rFonts w:hint="eastAsia" w:ascii="仿宋" w:hAnsi="仿宋" w:eastAsia="仿宋"/>
          <w:sz w:val="28"/>
          <w:szCs w:val="28"/>
        </w:rPr>
        <w:t>2019年7月2日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3E419A"/>
    <w:multiLevelType w:val="multilevel"/>
    <w:tmpl w:val="613E419A"/>
    <w:lvl w:ilvl="0" w:tentative="0">
      <w:start w:val="5"/>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C479B"/>
    <w:rsid w:val="00022788"/>
    <w:rsid w:val="000313EB"/>
    <w:rsid w:val="00033F0D"/>
    <w:rsid w:val="000449CD"/>
    <w:rsid w:val="00077856"/>
    <w:rsid w:val="00077CE3"/>
    <w:rsid w:val="00084956"/>
    <w:rsid w:val="000A4E3A"/>
    <w:rsid w:val="000A66FA"/>
    <w:rsid w:val="000B27E5"/>
    <w:rsid w:val="000F5A18"/>
    <w:rsid w:val="001135CD"/>
    <w:rsid w:val="00122845"/>
    <w:rsid w:val="0013233F"/>
    <w:rsid w:val="00135AD4"/>
    <w:rsid w:val="00153736"/>
    <w:rsid w:val="0017294D"/>
    <w:rsid w:val="00184877"/>
    <w:rsid w:val="00190EDD"/>
    <w:rsid w:val="00192988"/>
    <w:rsid w:val="001A0FE3"/>
    <w:rsid w:val="001B1F5D"/>
    <w:rsid w:val="001E75C1"/>
    <w:rsid w:val="00216E3E"/>
    <w:rsid w:val="00230A8B"/>
    <w:rsid w:val="0024241D"/>
    <w:rsid w:val="002A3683"/>
    <w:rsid w:val="00344374"/>
    <w:rsid w:val="00374CE2"/>
    <w:rsid w:val="00382315"/>
    <w:rsid w:val="00383F7D"/>
    <w:rsid w:val="003B4F95"/>
    <w:rsid w:val="003F5513"/>
    <w:rsid w:val="00401CC5"/>
    <w:rsid w:val="004259F6"/>
    <w:rsid w:val="00436364"/>
    <w:rsid w:val="00443FAD"/>
    <w:rsid w:val="00445FA2"/>
    <w:rsid w:val="0045022D"/>
    <w:rsid w:val="00450243"/>
    <w:rsid w:val="00454CAD"/>
    <w:rsid w:val="0045750D"/>
    <w:rsid w:val="00463AC5"/>
    <w:rsid w:val="00485F7A"/>
    <w:rsid w:val="00490E89"/>
    <w:rsid w:val="004A48E2"/>
    <w:rsid w:val="004C4C94"/>
    <w:rsid w:val="004F1790"/>
    <w:rsid w:val="005158CF"/>
    <w:rsid w:val="005264F7"/>
    <w:rsid w:val="00530187"/>
    <w:rsid w:val="005944B2"/>
    <w:rsid w:val="005C6FEC"/>
    <w:rsid w:val="006052D4"/>
    <w:rsid w:val="00607675"/>
    <w:rsid w:val="00616A4A"/>
    <w:rsid w:val="0062546A"/>
    <w:rsid w:val="0063151F"/>
    <w:rsid w:val="006433BF"/>
    <w:rsid w:val="006445D1"/>
    <w:rsid w:val="006525BD"/>
    <w:rsid w:val="006C06A3"/>
    <w:rsid w:val="006C0C7C"/>
    <w:rsid w:val="006C5ECB"/>
    <w:rsid w:val="006E3820"/>
    <w:rsid w:val="006F5DB2"/>
    <w:rsid w:val="00717AC1"/>
    <w:rsid w:val="0074782D"/>
    <w:rsid w:val="00774FCB"/>
    <w:rsid w:val="0079619A"/>
    <w:rsid w:val="007972F6"/>
    <w:rsid w:val="007A7375"/>
    <w:rsid w:val="007B2279"/>
    <w:rsid w:val="007C479B"/>
    <w:rsid w:val="007C79D8"/>
    <w:rsid w:val="007F0256"/>
    <w:rsid w:val="007F0D6F"/>
    <w:rsid w:val="00804EDC"/>
    <w:rsid w:val="008476D9"/>
    <w:rsid w:val="00847F6B"/>
    <w:rsid w:val="00851A90"/>
    <w:rsid w:val="008A386B"/>
    <w:rsid w:val="008C370E"/>
    <w:rsid w:val="0092588A"/>
    <w:rsid w:val="00962838"/>
    <w:rsid w:val="009B2CFB"/>
    <w:rsid w:val="009D13CF"/>
    <w:rsid w:val="009D7D8D"/>
    <w:rsid w:val="00A254A0"/>
    <w:rsid w:val="00A350EE"/>
    <w:rsid w:val="00A64A46"/>
    <w:rsid w:val="00A74491"/>
    <w:rsid w:val="00AD7154"/>
    <w:rsid w:val="00AE5754"/>
    <w:rsid w:val="00AF5E62"/>
    <w:rsid w:val="00B34185"/>
    <w:rsid w:val="00B44922"/>
    <w:rsid w:val="00B52AEA"/>
    <w:rsid w:val="00B52EBB"/>
    <w:rsid w:val="00B72698"/>
    <w:rsid w:val="00B841CB"/>
    <w:rsid w:val="00B96ACD"/>
    <w:rsid w:val="00BA1826"/>
    <w:rsid w:val="00BA7E40"/>
    <w:rsid w:val="00C06B57"/>
    <w:rsid w:val="00C31D03"/>
    <w:rsid w:val="00C5451A"/>
    <w:rsid w:val="00C60167"/>
    <w:rsid w:val="00C673C3"/>
    <w:rsid w:val="00C80B89"/>
    <w:rsid w:val="00C977E6"/>
    <w:rsid w:val="00CC6F0D"/>
    <w:rsid w:val="00D17D67"/>
    <w:rsid w:val="00D307C8"/>
    <w:rsid w:val="00D57489"/>
    <w:rsid w:val="00D64D06"/>
    <w:rsid w:val="00D849F2"/>
    <w:rsid w:val="00D9593A"/>
    <w:rsid w:val="00D96BC5"/>
    <w:rsid w:val="00DB6411"/>
    <w:rsid w:val="00DE33A8"/>
    <w:rsid w:val="00DF24EB"/>
    <w:rsid w:val="00DF26CE"/>
    <w:rsid w:val="00DF7E05"/>
    <w:rsid w:val="00E2302E"/>
    <w:rsid w:val="00E447D4"/>
    <w:rsid w:val="00E76616"/>
    <w:rsid w:val="00EA5633"/>
    <w:rsid w:val="00EC5B81"/>
    <w:rsid w:val="00F11F5A"/>
    <w:rsid w:val="00F15DDE"/>
    <w:rsid w:val="00F35B1D"/>
    <w:rsid w:val="00F47C9A"/>
    <w:rsid w:val="00F56250"/>
    <w:rsid w:val="00F9172C"/>
    <w:rsid w:val="00FE1E36"/>
    <w:rsid w:val="00FF5F95"/>
    <w:rsid w:val="3E4C4004"/>
    <w:rsid w:val="408B6D96"/>
    <w:rsid w:val="419A6D61"/>
    <w:rsid w:val="419D3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styleId="9">
    <w:name w:val="List Paragraph"/>
    <w:basedOn w:val="1"/>
    <w:qFormat/>
    <w:uiPriority w:val="34"/>
    <w:pPr>
      <w:ind w:firstLine="420" w:firstLineChars="200"/>
    </w:pPr>
  </w:style>
  <w:style w:type="character" w:customStyle="1" w:styleId="10">
    <w:name w:val="页眉 Char"/>
    <w:basedOn w:val="7"/>
    <w:link w:val="3"/>
    <w:semiHidden/>
    <w:qFormat/>
    <w:uiPriority w:val="99"/>
    <w:rPr>
      <w:sz w:val="18"/>
      <w:szCs w:val="18"/>
    </w:rPr>
  </w:style>
  <w:style w:type="character" w:customStyle="1" w:styleId="11">
    <w:name w:val="页脚 Char"/>
    <w:basedOn w:val="7"/>
    <w:link w:val="2"/>
    <w:semiHidden/>
    <w:qFormat/>
    <w:uiPriority w:val="99"/>
    <w:rPr>
      <w:sz w:val="18"/>
      <w:szCs w:val="18"/>
    </w:rPr>
  </w:style>
  <w:style w:type="paragraph" w:customStyle="1" w:styleId="12">
    <w:name w:val="p0"/>
    <w:basedOn w:val="1"/>
    <w:qFormat/>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27C45-82CE-451D-AC3B-E7C30715C901}">
  <ds:schemaRefs/>
</ds:datastoreItem>
</file>

<file path=docProps/app.xml><?xml version="1.0" encoding="utf-8"?>
<Properties xmlns="http://schemas.openxmlformats.org/officeDocument/2006/extended-properties" xmlns:vt="http://schemas.openxmlformats.org/officeDocument/2006/docPropsVTypes">
  <Template>Normal</Template>
  <Pages>7</Pages>
  <Words>540</Words>
  <Characters>3082</Characters>
  <Lines>25</Lines>
  <Paragraphs>7</Paragraphs>
  <TotalTime>1</TotalTime>
  <ScaleCrop>false</ScaleCrop>
  <LinksUpToDate>false</LinksUpToDate>
  <CharactersWithSpaces>3615</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2019-06-06T07:34:00Z</dcterms:created>
  <dc:creator>Administrator</dc:creator>
  <cp:lastModifiedBy>Administrator</cp:lastModifiedBy>
  <dcterms:modified xsi:type="dcterms:W3CDTF">2019-07-11T03:05:29Z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